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BFF9B" w14:textId="77777777" w:rsidR="001D418A" w:rsidRPr="007B1625" w:rsidRDefault="007B1625">
      <w:pPr>
        <w:rPr>
          <w:rFonts w:ascii="Verdana" w:hAnsi="Verdana"/>
          <w:b/>
          <w:sz w:val="18"/>
          <w:szCs w:val="18"/>
          <w:lang w:val="en-US"/>
        </w:rPr>
      </w:pPr>
      <w:r w:rsidRPr="007B1625">
        <w:rPr>
          <w:rFonts w:ascii="Verdana" w:hAnsi="Verdana"/>
          <w:b/>
          <w:sz w:val="18"/>
          <w:szCs w:val="18"/>
          <w:lang w:val="en-US"/>
        </w:rPr>
        <w:t xml:space="preserve">GOAL </w:t>
      </w:r>
    </w:p>
    <w:p w14:paraId="44099428" w14:textId="77777777" w:rsidR="001D418A" w:rsidRPr="007B1625" w:rsidRDefault="0031169E">
      <w:pPr>
        <w:pStyle w:val="BodyTextIndent2"/>
        <w:ind w:firstLine="0"/>
        <w:rPr>
          <w:rFonts w:ascii="Verdana" w:hAnsi="Verdana"/>
          <w:b/>
          <w:sz w:val="18"/>
          <w:szCs w:val="18"/>
          <w:lang w:val="en-US"/>
        </w:rPr>
      </w:pPr>
      <w:r w:rsidRPr="007B1625">
        <w:rPr>
          <w:rFonts w:ascii="Verdana" w:hAnsi="Verdana"/>
          <w:sz w:val="18"/>
          <w:szCs w:val="18"/>
          <w:lang w:val="en-US"/>
        </w:rPr>
        <w:t xml:space="preserve">Characterisation and evaluation of collection materials </w:t>
      </w:r>
      <w:r w:rsidR="007B1625" w:rsidRPr="007B1625">
        <w:rPr>
          <w:rFonts w:ascii="Verdana" w:hAnsi="Verdana"/>
          <w:sz w:val="18"/>
          <w:szCs w:val="18"/>
          <w:lang w:val="en-US"/>
        </w:rPr>
        <w:t xml:space="preserve">in collaboration with </w:t>
      </w:r>
      <w:r w:rsidR="00856232" w:rsidRPr="007B1625">
        <w:rPr>
          <w:rFonts w:ascii="Verdana" w:hAnsi="Verdana"/>
          <w:sz w:val="18"/>
          <w:szCs w:val="18"/>
          <w:lang w:val="en-US"/>
        </w:rPr>
        <w:t>third parties</w:t>
      </w:r>
      <w:r w:rsidR="00B83B1F" w:rsidRPr="007B1625" w:rsidDel="00B83B1F">
        <w:rPr>
          <w:rFonts w:ascii="Verdana" w:hAnsi="Verdana"/>
          <w:sz w:val="18"/>
          <w:szCs w:val="18"/>
          <w:lang w:val="en-US"/>
        </w:rPr>
        <w:t xml:space="preserve">. </w:t>
      </w:r>
    </w:p>
    <w:p w14:paraId="3E859ADF" w14:textId="77777777" w:rsidR="0031169E" w:rsidRPr="007B1625" w:rsidRDefault="0031169E">
      <w:pPr>
        <w:pStyle w:val="Heading5"/>
        <w:ind w:left="-567"/>
        <w:jc w:val="left"/>
        <w:rPr>
          <w:rFonts w:ascii="Verdana" w:hAnsi="Verdana"/>
          <w:b w:val="0"/>
          <w:sz w:val="18"/>
          <w:szCs w:val="18"/>
          <w:lang w:val="en-US"/>
        </w:rPr>
      </w:pPr>
    </w:p>
    <w:p w14:paraId="26933CC6" w14:textId="77777777" w:rsidR="001D418A" w:rsidRPr="007B1625" w:rsidRDefault="007B1625">
      <w:pPr>
        <w:tabs>
          <w:tab w:val="left" w:pos="851"/>
        </w:tabs>
        <w:rPr>
          <w:rFonts w:ascii="Verdana" w:hAnsi="Verdana"/>
          <w:b/>
          <w:sz w:val="18"/>
          <w:szCs w:val="18"/>
          <w:lang w:val="en-US"/>
        </w:rPr>
      </w:pPr>
      <w:r w:rsidRPr="007B1625">
        <w:rPr>
          <w:rFonts w:ascii="Verdana" w:hAnsi="Verdana"/>
          <w:b/>
          <w:sz w:val="18"/>
          <w:szCs w:val="18"/>
          <w:lang w:val="en-US"/>
        </w:rPr>
        <w:t>1)</w:t>
      </w:r>
      <w:r w:rsidR="00203CC3" w:rsidRPr="007B1625">
        <w:rPr>
          <w:rFonts w:ascii="Verdana" w:hAnsi="Verdana"/>
          <w:b/>
          <w:sz w:val="18"/>
          <w:szCs w:val="18"/>
          <w:lang w:val="en-US"/>
        </w:rPr>
        <w:t xml:space="preserve">Preliminary stage </w:t>
      </w:r>
    </w:p>
    <w:p w14:paraId="798F30A6" w14:textId="77777777" w:rsidR="001D418A" w:rsidRPr="007B1625" w:rsidRDefault="007B1625">
      <w:pPr>
        <w:pStyle w:val="BodyText"/>
        <w:rPr>
          <w:rFonts w:ascii="Verdana" w:hAnsi="Verdana"/>
          <w:b/>
          <w:sz w:val="18"/>
          <w:szCs w:val="18"/>
          <w:lang w:val="en-US"/>
        </w:rPr>
      </w:pPr>
      <w:r w:rsidRPr="007B1625">
        <w:rPr>
          <w:rFonts w:ascii="Verdana" w:hAnsi="Verdana"/>
          <w:sz w:val="18"/>
          <w:szCs w:val="18"/>
          <w:lang w:val="en-US"/>
        </w:rPr>
        <w:t xml:space="preserve">The request for cooperation between the CGN and companies or research institutes for the testing of </w:t>
      </w:r>
      <w:r w:rsidR="00FA6696" w:rsidRPr="007B1625">
        <w:rPr>
          <w:rFonts w:ascii="Verdana" w:hAnsi="Verdana"/>
          <w:sz w:val="18"/>
          <w:szCs w:val="18"/>
          <w:lang w:val="en-US"/>
        </w:rPr>
        <w:t xml:space="preserve">collection material </w:t>
      </w:r>
      <w:r w:rsidRPr="007B1625">
        <w:rPr>
          <w:rFonts w:ascii="Verdana" w:hAnsi="Verdana"/>
          <w:sz w:val="18"/>
          <w:szCs w:val="18"/>
          <w:lang w:val="en-US"/>
        </w:rPr>
        <w:t xml:space="preserve">can arise both from the companies/institutions and from the CGN. An initial consultation between CGN and companies is organised </w:t>
      </w:r>
      <w:r w:rsidR="002E31C1" w:rsidRPr="007B1625">
        <w:rPr>
          <w:rFonts w:ascii="Verdana" w:hAnsi="Verdana"/>
          <w:sz w:val="18"/>
          <w:szCs w:val="18"/>
          <w:lang w:val="en-US"/>
        </w:rPr>
        <w:t xml:space="preserve">in one </w:t>
      </w:r>
      <w:r w:rsidRPr="007B1625">
        <w:rPr>
          <w:rFonts w:ascii="Verdana" w:hAnsi="Verdana"/>
          <w:sz w:val="18"/>
          <w:szCs w:val="18"/>
          <w:lang w:val="en-US"/>
        </w:rPr>
        <w:t>of the CGN crop committees or through the Plantum crop groups or in other working groups. Contact with research institutions is established through CGN staff.</w:t>
      </w:r>
    </w:p>
    <w:p w14:paraId="47B2493C" w14:textId="77777777" w:rsidR="00A713DC" w:rsidRDefault="00A713DC">
      <w:pPr>
        <w:pStyle w:val="BodyText"/>
        <w:rPr>
          <w:rFonts w:ascii="Verdana" w:hAnsi="Verdana"/>
          <w:sz w:val="18"/>
          <w:szCs w:val="18"/>
          <w:lang w:val="en-US"/>
        </w:rPr>
      </w:pPr>
    </w:p>
    <w:p w14:paraId="054A3D67" w14:textId="24400952" w:rsidR="001D418A" w:rsidRPr="007B1625" w:rsidRDefault="007B1625">
      <w:pPr>
        <w:pStyle w:val="BodyText"/>
        <w:rPr>
          <w:rFonts w:ascii="Verdana" w:hAnsi="Verdana"/>
          <w:sz w:val="18"/>
          <w:szCs w:val="18"/>
          <w:lang w:val="en-US"/>
        </w:rPr>
      </w:pPr>
      <w:r w:rsidRPr="007B1625">
        <w:rPr>
          <w:rFonts w:ascii="Verdana" w:hAnsi="Verdana"/>
          <w:sz w:val="18"/>
          <w:szCs w:val="18"/>
          <w:lang w:val="en-US"/>
        </w:rPr>
        <w:t xml:space="preserve">A preliminary plan is drawn up in an initial consultation (possibly in writing). This plan defines </w:t>
      </w:r>
      <w:r w:rsidR="00856232" w:rsidRPr="007B1625">
        <w:rPr>
          <w:rFonts w:ascii="Verdana" w:hAnsi="Verdana"/>
          <w:sz w:val="18"/>
          <w:szCs w:val="18"/>
          <w:lang w:val="en-US"/>
        </w:rPr>
        <w:t>which material will be tested for which properties and by which companies the testing can take place</w:t>
      </w:r>
      <w:r w:rsidR="00F41C33" w:rsidRPr="007B1625">
        <w:rPr>
          <w:rFonts w:ascii="Verdana" w:hAnsi="Verdana"/>
          <w:sz w:val="18"/>
          <w:szCs w:val="18"/>
          <w:lang w:val="en-US"/>
        </w:rPr>
        <w:t>.</w:t>
      </w:r>
    </w:p>
    <w:p w14:paraId="22D608DA" w14:textId="77777777" w:rsidR="000D1345" w:rsidRDefault="000D1345">
      <w:pPr>
        <w:pStyle w:val="BodyText"/>
        <w:rPr>
          <w:rFonts w:ascii="Verdana" w:hAnsi="Verdana"/>
          <w:sz w:val="18"/>
          <w:szCs w:val="18"/>
          <w:lang w:val="en-US"/>
        </w:rPr>
      </w:pPr>
    </w:p>
    <w:p w14:paraId="0C225DE1" w14:textId="6BC294DE" w:rsidR="001D418A" w:rsidRPr="007B1625" w:rsidRDefault="007B1625">
      <w:pPr>
        <w:pStyle w:val="BodyText"/>
        <w:rPr>
          <w:rFonts w:ascii="Verdana" w:hAnsi="Verdana"/>
          <w:sz w:val="18"/>
          <w:szCs w:val="18"/>
          <w:lang w:val="en-US"/>
        </w:rPr>
      </w:pPr>
      <w:r w:rsidRPr="007B1625">
        <w:rPr>
          <w:rFonts w:ascii="Verdana" w:hAnsi="Verdana"/>
          <w:sz w:val="18"/>
          <w:szCs w:val="18"/>
          <w:lang w:val="en-US"/>
        </w:rPr>
        <w:t xml:space="preserve">The CGN then considers which accessions will be tested in </w:t>
      </w:r>
      <w:r w:rsidR="00856232" w:rsidRPr="007B1625">
        <w:rPr>
          <w:rFonts w:ascii="Verdana" w:hAnsi="Verdana"/>
          <w:sz w:val="18"/>
          <w:szCs w:val="18"/>
          <w:lang w:val="en-US"/>
        </w:rPr>
        <w:t xml:space="preserve">the </w:t>
      </w:r>
      <w:r w:rsidR="002D4DBC" w:rsidRPr="007B1625">
        <w:rPr>
          <w:rFonts w:ascii="Verdana" w:hAnsi="Verdana"/>
          <w:sz w:val="18"/>
          <w:szCs w:val="18"/>
          <w:lang w:val="en-US"/>
        </w:rPr>
        <w:t xml:space="preserve">joint </w:t>
      </w:r>
      <w:r w:rsidR="00856232" w:rsidRPr="007B1625">
        <w:rPr>
          <w:rFonts w:ascii="Verdana" w:hAnsi="Verdana"/>
          <w:sz w:val="18"/>
          <w:szCs w:val="18"/>
          <w:lang w:val="en-US"/>
        </w:rPr>
        <w:t>project</w:t>
      </w:r>
      <w:r w:rsidRPr="007B1625">
        <w:rPr>
          <w:rFonts w:ascii="Verdana" w:hAnsi="Verdana"/>
          <w:sz w:val="18"/>
          <w:szCs w:val="18"/>
          <w:lang w:val="en-US"/>
        </w:rPr>
        <w:t xml:space="preserve">. Within the Plantum crop groups or other working groups, an inventory is made of which companies are participating, the methods to evaluate the identified traits are agreed, the amount of seed per accession is determined, how the results will be delivered is discussed, and a time period of the agreement and an embargo period for making the results public is proposed. </w:t>
      </w:r>
    </w:p>
    <w:p w14:paraId="111351E9" w14:textId="77777777" w:rsidR="000D1345" w:rsidRDefault="000D1345">
      <w:pPr>
        <w:pStyle w:val="BodyText"/>
        <w:rPr>
          <w:rFonts w:ascii="Verdana" w:hAnsi="Verdana"/>
          <w:sz w:val="18"/>
          <w:szCs w:val="18"/>
          <w:lang w:val="en-US"/>
        </w:rPr>
      </w:pPr>
    </w:p>
    <w:p w14:paraId="1D7842D4" w14:textId="081E64F2" w:rsidR="001D418A" w:rsidRPr="007B1625" w:rsidRDefault="007B1625">
      <w:pPr>
        <w:pStyle w:val="BodyText"/>
        <w:rPr>
          <w:rFonts w:ascii="Verdana" w:hAnsi="Verdana"/>
          <w:sz w:val="18"/>
          <w:szCs w:val="18"/>
          <w:lang w:val="en-US"/>
        </w:rPr>
      </w:pPr>
      <w:r w:rsidRPr="007B1625">
        <w:rPr>
          <w:rFonts w:ascii="Verdana" w:hAnsi="Verdana"/>
          <w:sz w:val="18"/>
          <w:szCs w:val="18"/>
          <w:lang w:val="en-US"/>
        </w:rPr>
        <w:t>If it is a collaboration with a research institution, the relevant issues mentioned above will be discussed with the research institution.</w:t>
      </w:r>
    </w:p>
    <w:p w14:paraId="29A87A6F" w14:textId="77777777" w:rsidR="0031169E" w:rsidRPr="007B1625" w:rsidRDefault="0031169E">
      <w:pPr>
        <w:pStyle w:val="BodyText"/>
        <w:ind w:left="720"/>
        <w:rPr>
          <w:rFonts w:ascii="Verdana" w:hAnsi="Verdana"/>
          <w:sz w:val="18"/>
          <w:szCs w:val="18"/>
          <w:lang w:val="en-US"/>
        </w:rPr>
      </w:pPr>
    </w:p>
    <w:p w14:paraId="3F6DCFBD" w14:textId="77777777" w:rsidR="001D418A" w:rsidRPr="007B1625" w:rsidRDefault="007B1625">
      <w:pPr>
        <w:tabs>
          <w:tab w:val="left" w:pos="851"/>
        </w:tabs>
        <w:rPr>
          <w:rFonts w:ascii="Verdana" w:hAnsi="Verdana"/>
          <w:b/>
          <w:sz w:val="18"/>
          <w:szCs w:val="18"/>
          <w:lang w:val="en-US"/>
        </w:rPr>
      </w:pPr>
      <w:r w:rsidRPr="007B1625">
        <w:rPr>
          <w:rFonts w:ascii="Verdana" w:hAnsi="Verdana"/>
          <w:b/>
          <w:sz w:val="18"/>
          <w:szCs w:val="18"/>
          <w:lang w:val="en-US"/>
        </w:rPr>
        <w:t>2</w:t>
      </w:r>
      <w:r w:rsidR="0031169E" w:rsidRPr="007B1625">
        <w:rPr>
          <w:rFonts w:ascii="Verdana" w:hAnsi="Verdana"/>
          <w:b/>
          <w:sz w:val="18"/>
          <w:szCs w:val="18"/>
          <w:lang w:val="en-US"/>
        </w:rPr>
        <w:t>)</w:t>
      </w:r>
      <w:r w:rsidR="0031169E" w:rsidRPr="007B1625">
        <w:rPr>
          <w:rFonts w:ascii="Verdana" w:hAnsi="Verdana"/>
          <w:b/>
          <w:sz w:val="18"/>
          <w:szCs w:val="18"/>
          <w:lang w:val="en-US"/>
        </w:rPr>
        <w:tab/>
        <w:t>Formulating agreement</w:t>
      </w:r>
    </w:p>
    <w:p w14:paraId="72C75036" w14:textId="77777777" w:rsidR="001D418A" w:rsidRPr="007B1625" w:rsidRDefault="007B1625">
      <w:pPr>
        <w:pStyle w:val="BodyText"/>
        <w:rPr>
          <w:rFonts w:ascii="Verdana" w:hAnsi="Verdana"/>
          <w:sz w:val="18"/>
          <w:szCs w:val="18"/>
          <w:lang w:val="en-US"/>
        </w:rPr>
      </w:pPr>
      <w:r w:rsidRPr="007B1625">
        <w:rPr>
          <w:rFonts w:ascii="Verdana" w:hAnsi="Verdana"/>
          <w:sz w:val="18"/>
          <w:szCs w:val="18"/>
          <w:lang w:val="en-US"/>
        </w:rPr>
        <w:t xml:space="preserve">Based on the elaborated plans, an agreement </w:t>
      </w:r>
      <w:r w:rsidR="00FE2964" w:rsidRPr="007B1625">
        <w:rPr>
          <w:rFonts w:ascii="Verdana" w:hAnsi="Verdana"/>
          <w:sz w:val="18"/>
          <w:szCs w:val="18"/>
          <w:lang w:val="en-US"/>
        </w:rPr>
        <w:t xml:space="preserve">'the Evaluationletter' </w:t>
      </w:r>
      <w:r w:rsidRPr="007B1625">
        <w:rPr>
          <w:rFonts w:ascii="Verdana" w:hAnsi="Verdana"/>
          <w:sz w:val="18"/>
          <w:szCs w:val="18"/>
          <w:lang w:val="en-US"/>
        </w:rPr>
        <w:t xml:space="preserve">is formulated which, after approval of all parties, is signed by the signatories of the participating companies/research institution and by the Head CGN. </w:t>
      </w:r>
      <w:r w:rsidR="00FE2964" w:rsidRPr="007B1625">
        <w:rPr>
          <w:rFonts w:ascii="Verdana" w:hAnsi="Verdana"/>
          <w:sz w:val="18"/>
          <w:szCs w:val="18"/>
          <w:lang w:val="en-US"/>
        </w:rPr>
        <w:t>Plantum is responsible for sending and keeping the agreements.</w:t>
      </w:r>
    </w:p>
    <w:p w14:paraId="635D1D8D" w14:textId="77777777" w:rsidR="0031169E" w:rsidRPr="007B1625" w:rsidRDefault="0031169E">
      <w:pPr>
        <w:ind w:left="-567"/>
        <w:rPr>
          <w:rFonts w:ascii="Verdana" w:hAnsi="Verdana"/>
          <w:sz w:val="18"/>
          <w:szCs w:val="18"/>
          <w:lang w:val="en-US"/>
        </w:rPr>
      </w:pPr>
    </w:p>
    <w:p w14:paraId="0643A6D5" w14:textId="77777777" w:rsidR="001D418A" w:rsidRPr="007B1625" w:rsidRDefault="007B1625">
      <w:pPr>
        <w:tabs>
          <w:tab w:val="left" w:pos="851"/>
        </w:tabs>
        <w:rPr>
          <w:rFonts w:ascii="Verdana" w:hAnsi="Verdana"/>
          <w:b/>
          <w:sz w:val="18"/>
          <w:szCs w:val="18"/>
          <w:lang w:val="en-US"/>
        </w:rPr>
      </w:pPr>
      <w:r w:rsidRPr="007B1625">
        <w:rPr>
          <w:rFonts w:ascii="Verdana" w:hAnsi="Verdana"/>
          <w:b/>
          <w:sz w:val="18"/>
          <w:szCs w:val="18"/>
          <w:lang w:val="en-US"/>
        </w:rPr>
        <w:t>3</w:t>
      </w:r>
      <w:r w:rsidR="0031169E" w:rsidRPr="007B1625">
        <w:rPr>
          <w:rFonts w:ascii="Verdana" w:hAnsi="Verdana"/>
          <w:b/>
          <w:sz w:val="18"/>
          <w:szCs w:val="18"/>
          <w:lang w:val="en-US"/>
        </w:rPr>
        <w:t>)</w:t>
      </w:r>
      <w:r w:rsidR="0031169E" w:rsidRPr="007B1625">
        <w:rPr>
          <w:rFonts w:ascii="Verdana" w:hAnsi="Verdana"/>
          <w:b/>
          <w:sz w:val="18"/>
          <w:szCs w:val="18"/>
          <w:lang w:val="en-US"/>
        </w:rPr>
        <w:tab/>
        <w:t>Execution of agreement</w:t>
      </w:r>
    </w:p>
    <w:p w14:paraId="771F1A37" w14:textId="220ACFE8" w:rsidR="00E45390" w:rsidRDefault="007B1625">
      <w:pPr>
        <w:pStyle w:val="BodyText"/>
        <w:rPr>
          <w:rFonts w:ascii="Verdana" w:hAnsi="Verdana"/>
          <w:sz w:val="18"/>
          <w:szCs w:val="18"/>
          <w:lang w:val="en-US"/>
        </w:rPr>
      </w:pPr>
      <w:r w:rsidRPr="007B1625">
        <w:rPr>
          <w:rFonts w:ascii="Verdana" w:hAnsi="Verdana"/>
          <w:sz w:val="18"/>
          <w:szCs w:val="18"/>
          <w:lang w:val="en-US"/>
        </w:rPr>
        <w:t xml:space="preserve">CGN sends the seed material </w:t>
      </w:r>
      <w:r w:rsidR="00FE2964" w:rsidRPr="007B1625">
        <w:rPr>
          <w:rFonts w:ascii="Verdana" w:hAnsi="Verdana"/>
          <w:sz w:val="18"/>
          <w:szCs w:val="18"/>
          <w:lang w:val="en-US"/>
        </w:rPr>
        <w:t xml:space="preserve">after signing all 'Evaluation Letters' </w:t>
      </w:r>
      <w:r w:rsidR="00124361" w:rsidRPr="007B1625">
        <w:rPr>
          <w:rFonts w:ascii="Verdana" w:hAnsi="Verdana"/>
          <w:sz w:val="18"/>
          <w:szCs w:val="18"/>
          <w:lang w:val="en-US"/>
        </w:rPr>
        <w:t xml:space="preserve">to the </w:t>
      </w:r>
      <w:r w:rsidR="002E31C1" w:rsidRPr="007B1625">
        <w:rPr>
          <w:rFonts w:ascii="Verdana" w:hAnsi="Verdana"/>
          <w:sz w:val="18"/>
          <w:szCs w:val="18"/>
          <w:lang w:val="en-US"/>
        </w:rPr>
        <w:t xml:space="preserve">participants </w:t>
      </w:r>
      <w:r w:rsidRPr="007B1625">
        <w:rPr>
          <w:rFonts w:ascii="Verdana" w:hAnsi="Verdana"/>
          <w:sz w:val="18"/>
          <w:szCs w:val="18"/>
          <w:lang w:val="en-US"/>
        </w:rPr>
        <w:t>according to the instruction described in INS-CGN-PG 007-Sending Instructions. This can be per participating company, or the total quantity is sent to the coordinating</w:t>
      </w:r>
      <w:r w:rsidR="00234208">
        <w:rPr>
          <w:rFonts w:ascii="Verdana" w:hAnsi="Verdana"/>
          <w:sz w:val="18"/>
          <w:szCs w:val="18"/>
          <w:lang w:val="en-US"/>
        </w:rPr>
        <w:t xml:space="preserve"> </w:t>
      </w:r>
      <w:r w:rsidRPr="007B1625">
        <w:rPr>
          <w:rFonts w:ascii="Verdana" w:hAnsi="Verdana"/>
          <w:sz w:val="18"/>
          <w:szCs w:val="18"/>
          <w:lang w:val="en-US"/>
        </w:rPr>
        <w:t xml:space="preserve">company/institution. </w:t>
      </w:r>
      <w:r w:rsidRPr="007B1625">
        <w:rPr>
          <w:rFonts w:ascii="Verdana" w:hAnsi="Verdana"/>
          <w:sz w:val="18"/>
          <w:szCs w:val="18"/>
          <w:lang w:val="en-US"/>
        </w:rPr>
        <w:br/>
      </w:r>
    </w:p>
    <w:p w14:paraId="52296896" w14:textId="77777777" w:rsidR="00596A13" w:rsidRDefault="007B1625">
      <w:pPr>
        <w:pStyle w:val="BodyText"/>
        <w:rPr>
          <w:rFonts w:ascii="Verdana" w:hAnsi="Verdana"/>
          <w:sz w:val="18"/>
          <w:szCs w:val="18"/>
          <w:lang w:val="en-US"/>
        </w:rPr>
      </w:pPr>
      <w:r w:rsidRPr="007B1625">
        <w:rPr>
          <w:rFonts w:ascii="Verdana" w:hAnsi="Verdana"/>
          <w:sz w:val="18"/>
          <w:szCs w:val="18"/>
          <w:lang w:val="en-US"/>
        </w:rPr>
        <w:t xml:space="preserve">The seed quantities per accession are defined in the agreement. If the seed quantities per accession exceed a total of 3 user bags, the required seed is taken from the residual bag and packaged as one portion or in multiple portions (depending on the number of participants) and sent with the </w:t>
      </w:r>
      <w:r w:rsidR="00856232" w:rsidRPr="007B1625">
        <w:rPr>
          <w:rFonts w:ascii="Verdana" w:hAnsi="Verdana"/>
          <w:sz w:val="18"/>
          <w:szCs w:val="18"/>
          <w:lang w:val="en-US"/>
        </w:rPr>
        <w:t>accession number</w:t>
      </w:r>
      <w:r w:rsidRPr="007B1625">
        <w:rPr>
          <w:rFonts w:ascii="Verdana" w:hAnsi="Verdana"/>
          <w:sz w:val="18"/>
          <w:szCs w:val="18"/>
          <w:lang w:val="en-US"/>
        </w:rPr>
        <w:t xml:space="preserve">. If seed is extracted from the residual seed, the amount of residual seed is adjusted in GENIS. To register the release, the GENIS dispatch table pretends that the seed shipment to the relevant address is one 'user bag', automatically reducing the number of 'user bags' by one. The number of 'user bags' is adjusted </w:t>
      </w:r>
      <w:r w:rsidR="00D56FAE">
        <w:rPr>
          <w:rFonts w:ascii="Verdana" w:hAnsi="Verdana"/>
          <w:sz w:val="18"/>
          <w:szCs w:val="18"/>
          <w:lang w:val="en-US"/>
        </w:rPr>
        <w:t>accordingly</w:t>
      </w:r>
      <w:r w:rsidRPr="007B1625">
        <w:rPr>
          <w:rFonts w:ascii="Verdana" w:hAnsi="Verdana"/>
          <w:sz w:val="18"/>
          <w:szCs w:val="18"/>
          <w:lang w:val="en-US"/>
        </w:rPr>
        <w:t xml:space="preserve">. An excel file with the passport data of the relevant accessions is also sent to the participating companies. This serves as a format for returning the evaluation data.  </w:t>
      </w:r>
      <w:r w:rsidR="002E31C1" w:rsidRPr="007B1625">
        <w:rPr>
          <w:rFonts w:ascii="Verdana" w:hAnsi="Verdana"/>
          <w:sz w:val="18"/>
          <w:szCs w:val="18"/>
          <w:lang w:val="en-US"/>
        </w:rPr>
        <w:br/>
      </w:r>
    </w:p>
    <w:p w14:paraId="6C63EF7A" w14:textId="79430DBD" w:rsidR="001D418A" w:rsidRPr="007B1625" w:rsidRDefault="002E31C1">
      <w:pPr>
        <w:pStyle w:val="BodyText"/>
        <w:rPr>
          <w:rFonts w:ascii="Verdana" w:hAnsi="Verdana"/>
          <w:sz w:val="18"/>
          <w:szCs w:val="18"/>
          <w:lang w:val="en-US"/>
        </w:rPr>
      </w:pPr>
      <w:r w:rsidRPr="007B1625">
        <w:rPr>
          <w:rFonts w:ascii="Verdana" w:hAnsi="Verdana"/>
          <w:sz w:val="18"/>
          <w:szCs w:val="18"/>
          <w:lang w:val="en-US"/>
        </w:rPr>
        <w:t xml:space="preserve">The participants </w:t>
      </w:r>
      <w:r w:rsidR="00E25B78" w:rsidRPr="007B1625">
        <w:rPr>
          <w:rFonts w:ascii="Verdana" w:hAnsi="Verdana"/>
          <w:sz w:val="18"/>
          <w:szCs w:val="18"/>
          <w:lang w:val="en-US"/>
        </w:rPr>
        <w:t xml:space="preserve">perform the tests using the </w:t>
      </w:r>
      <w:r w:rsidR="007B1625" w:rsidRPr="007B1625">
        <w:rPr>
          <w:rFonts w:ascii="Verdana" w:hAnsi="Verdana"/>
          <w:sz w:val="18"/>
          <w:szCs w:val="18"/>
          <w:lang w:val="en-US"/>
        </w:rPr>
        <w:t xml:space="preserve">methods mentioned in the agreement. The results are sent </w:t>
      </w:r>
      <w:r w:rsidR="00FE2964" w:rsidRPr="007B1625">
        <w:rPr>
          <w:rFonts w:ascii="Verdana" w:hAnsi="Verdana"/>
          <w:sz w:val="18"/>
          <w:szCs w:val="18"/>
          <w:lang w:val="en-US"/>
        </w:rPr>
        <w:t xml:space="preserve">to </w:t>
      </w:r>
      <w:r w:rsidR="007B1625" w:rsidRPr="007B1625">
        <w:rPr>
          <w:rFonts w:ascii="Verdana" w:hAnsi="Verdana"/>
          <w:sz w:val="18"/>
          <w:szCs w:val="18"/>
          <w:lang w:val="en-US"/>
        </w:rPr>
        <w:t xml:space="preserve">the CGN in an excel file. </w:t>
      </w:r>
      <w:r w:rsidR="00935447">
        <w:rPr>
          <w:rFonts w:ascii="Verdana" w:hAnsi="Verdana"/>
          <w:sz w:val="18"/>
          <w:szCs w:val="18"/>
          <w:lang w:val="en-US"/>
        </w:rPr>
        <w:t>CGN</w:t>
      </w:r>
      <w:r w:rsidR="00FE2964" w:rsidRPr="007B1625">
        <w:rPr>
          <w:rFonts w:ascii="Verdana" w:hAnsi="Verdana"/>
          <w:sz w:val="18"/>
          <w:szCs w:val="18"/>
          <w:lang w:val="en-US"/>
        </w:rPr>
        <w:t xml:space="preserve"> puts </w:t>
      </w:r>
      <w:r w:rsidR="00176B9E" w:rsidRPr="007B1625">
        <w:rPr>
          <w:rFonts w:ascii="Verdana" w:hAnsi="Verdana"/>
          <w:sz w:val="18"/>
          <w:szCs w:val="18"/>
          <w:lang w:val="en-US"/>
        </w:rPr>
        <w:t xml:space="preserve">the data into a collection file, which is sent to Plantum. </w:t>
      </w:r>
      <w:r w:rsidR="007B1625" w:rsidRPr="007B1625">
        <w:rPr>
          <w:rFonts w:ascii="Verdana" w:hAnsi="Verdana"/>
          <w:sz w:val="18"/>
          <w:szCs w:val="18"/>
          <w:lang w:val="en-US"/>
        </w:rPr>
        <w:t>Whe</w:t>
      </w:r>
      <w:r w:rsidR="00935447">
        <w:rPr>
          <w:rFonts w:ascii="Verdana" w:hAnsi="Verdana"/>
          <w:sz w:val="18"/>
          <w:szCs w:val="18"/>
          <w:lang w:val="en-US"/>
        </w:rPr>
        <w:t>n</w:t>
      </w:r>
      <w:r w:rsidR="007B1625" w:rsidRPr="007B1625">
        <w:rPr>
          <w:rFonts w:ascii="Verdana" w:hAnsi="Verdana"/>
          <w:sz w:val="18"/>
          <w:szCs w:val="18"/>
          <w:lang w:val="en-US"/>
        </w:rPr>
        <w:t xml:space="preserve"> it is an agreement concluded with Plantum, the results are </w:t>
      </w:r>
      <w:r w:rsidR="00176B9E" w:rsidRPr="007B1625">
        <w:rPr>
          <w:rFonts w:ascii="Verdana" w:hAnsi="Verdana"/>
          <w:sz w:val="18"/>
          <w:szCs w:val="18"/>
          <w:lang w:val="en-US"/>
        </w:rPr>
        <w:t xml:space="preserve">distributed </w:t>
      </w:r>
      <w:r w:rsidR="007B1625" w:rsidRPr="007B1625">
        <w:rPr>
          <w:rFonts w:ascii="Verdana" w:hAnsi="Verdana"/>
          <w:sz w:val="18"/>
          <w:szCs w:val="18"/>
          <w:lang w:val="en-US"/>
        </w:rPr>
        <w:t>centrally by Plantum</w:t>
      </w:r>
      <w:r w:rsidR="00596652" w:rsidRPr="007B1625">
        <w:rPr>
          <w:rFonts w:ascii="Verdana" w:hAnsi="Verdana"/>
          <w:sz w:val="18"/>
          <w:szCs w:val="18"/>
          <w:lang w:val="en-US"/>
        </w:rPr>
        <w:t>.</w:t>
      </w:r>
    </w:p>
    <w:p w14:paraId="50E6FAB4" w14:textId="77777777" w:rsidR="0031169E" w:rsidRPr="007B1625" w:rsidRDefault="0031169E">
      <w:pPr>
        <w:pStyle w:val="BodyText"/>
        <w:ind w:left="-567"/>
        <w:rPr>
          <w:rFonts w:ascii="Verdana" w:hAnsi="Verdana"/>
          <w:sz w:val="18"/>
          <w:szCs w:val="18"/>
          <w:lang w:val="en-US"/>
        </w:rPr>
      </w:pPr>
    </w:p>
    <w:p w14:paraId="482CAE12" w14:textId="77777777" w:rsidR="001D418A" w:rsidRPr="007B1625" w:rsidRDefault="007B1625">
      <w:pPr>
        <w:pStyle w:val="Heading6"/>
        <w:tabs>
          <w:tab w:val="left" w:pos="851"/>
        </w:tabs>
        <w:spacing w:before="0" w:after="0"/>
        <w:rPr>
          <w:rFonts w:ascii="Verdana" w:hAnsi="Verdana"/>
          <w:b/>
          <w:i w:val="0"/>
          <w:sz w:val="18"/>
          <w:szCs w:val="18"/>
          <w:lang w:val="en-US"/>
        </w:rPr>
      </w:pPr>
      <w:r w:rsidRPr="007B1625">
        <w:rPr>
          <w:rFonts w:ascii="Verdana" w:hAnsi="Verdana"/>
          <w:b/>
          <w:i w:val="0"/>
          <w:sz w:val="18"/>
          <w:szCs w:val="18"/>
          <w:lang w:val="en-US"/>
        </w:rPr>
        <w:t>4</w:t>
      </w:r>
      <w:r w:rsidR="0031169E" w:rsidRPr="007B1625">
        <w:rPr>
          <w:rFonts w:ascii="Verdana" w:hAnsi="Verdana"/>
          <w:b/>
          <w:i w:val="0"/>
          <w:sz w:val="18"/>
          <w:szCs w:val="18"/>
          <w:lang w:val="en-US"/>
        </w:rPr>
        <w:t>)</w:t>
      </w:r>
      <w:r w:rsidR="0031169E" w:rsidRPr="007B1625">
        <w:rPr>
          <w:rFonts w:ascii="Verdana" w:hAnsi="Verdana"/>
          <w:b/>
          <w:i w:val="0"/>
          <w:sz w:val="18"/>
          <w:szCs w:val="18"/>
          <w:lang w:val="en-US"/>
        </w:rPr>
        <w:tab/>
        <w:t>Entering results in GENIS</w:t>
      </w:r>
    </w:p>
    <w:p w14:paraId="751ECAD8" w14:textId="77777777" w:rsidR="001D418A" w:rsidRPr="007B1625" w:rsidRDefault="007B1625">
      <w:pPr>
        <w:pStyle w:val="BodyTextIndent"/>
        <w:ind w:left="0"/>
        <w:rPr>
          <w:rFonts w:ascii="Verdana" w:hAnsi="Verdana"/>
          <w:sz w:val="18"/>
          <w:szCs w:val="18"/>
          <w:lang w:val="en-US"/>
        </w:rPr>
      </w:pPr>
      <w:r w:rsidRPr="007B1625">
        <w:rPr>
          <w:rFonts w:ascii="Verdana" w:hAnsi="Verdana"/>
          <w:sz w:val="18"/>
          <w:szCs w:val="18"/>
          <w:lang w:val="en-US"/>
        </w:rPr>
        <w:t xml:space="preserve">If an embargo on the results has been agreed, </w:t>
      </w:r>
      <w:r w:rsidR="0006382A" w:rsidRPr="007B1625">
        <w:rPr>
          <w:rFonts w:ascii="Verdana" w:hAnsi="Verdana"/>
          <w:sz w:val="18"/>
          <w:szCs w:val="18"/>
          <w:lang w:val="en-US"/>
        </w:rPr>
        <w:t xml:space="preserve">Annex 1 of this document </w:t>
      </w:r>
      <w:r w:rsidRPr="007B1625">
        <w:rPr>
          <w:rFonts w:ascii="Verdana" w:hAnsi="Verdana"/>
          <w:sz w:val="18"/>
          <w:szCs w:val="18"/>
          <w:lang w:val="en-US"/>
        </w:rPr>
        <w:t>will be followed. If this is not the case</w:t>
      </w:r>
      <w:r w:rsidR="001F58D1" w:rsidRPr="007B1625">
        <w:rPr>
          <w:rFonts w:ascii="Verdana" w:hAnsi="Verdana"/>
          <w:sz w:val="18"/>
          <w:szCs w:val="18"/>
          <w:lang w:val="en-US"/>
        </w:rPr>
        <w:t>, the data can be entered in GENIS immediately upon arrival.</w:t>
      </w:r>
    </w:p>
    <w:p w14:paraId="3958A64C" w14:textId="77777777" w:rsidR="001D418A" w:rsidRPr="007B1625" w:rsidRDefault="007B1625">
      <w:pPr>
        <w:rPr>
          <w:rFonts w:ascii="Verdana" w:hAnsi="Verdana"/>
          <w:b/>
          <w:sz w:val="18"/>
          <w:szCs w:val="18"/>
          <w:lang w:val="en-US"/>
        </w:rPr>
      </w:pPr>
      <w:r>
        <w:rPr>
          <w:noProof/>
          <w:lang w:eastAsia="en-GB"/>
        </w:rPr>
        <w:lastRenderedPageBreak/>
        <mc:AlternateContent>
          <mc:Choice Requires="wps">
            <w:drawing>
              <wp:anchor distT="0" distB="0" distL="114300" distR="114300" simplePos="0" relativeHeight="251659264" behindDoc="0" locked="0" layoutInCell="1" allowOverlap="1" wp14:anchorId="354BF5F6" wp14:editId="3E279F08">
                <wp:simplePos x="0" y="0"/>
                <wp:positionH relativeFrom="column">
                  <wp:posOffset>-25400</wp:posOffset>
                </wp:positionH>
                <wp:positionV relativeFrom="paragraph">
                  <wp:posOffset>145084</wp:posOffset>
                </wp:positionV>
                <wp:extent cx="5409565" cy="795655"/>
                <wp:effectExtent l="0" t="0" r="20320" b="241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795655"/>
                        </a:xfrm>
                        <a:prstGeom prst="rect">
                          <a:avLst/>
                        </a:prstGeom>
                        <a:solidFill>
                          <a:srgbClr val="FFFFFF"/>
                        </a:solidFill>
                        <a:ln w="9525">
                          <a:solidFill>
                            <a:srgbClr val="000000"/>
                          </a:solidFill>
                          <a:miter lim="800000"/>
                          <a:headEnd/>
                          <a:tailEnd/>
                        </a:ln>
                      </wps:spPr>
                      <wps:txbx>
                        <w:txbxContent>
                          <w:p w14:paraId="679593A9" w14:textId="77777777" w:rsidR="001D418A" w:rsidRPr="007B1625" w:rsidRDefault="007B1625">
                            <w:pPr>
                              <w:ind w:left="-567" w:firstLine="567"/>
                              <w:rPr>
                                <w:rFonts w:ascii="Verdana" w:hAnsi="Verdana"/>
                                <w:b/>
                                <w:sz w:val="18"/>
                                <w:szCs w:val="18"/>
                                <w:lang w:val="en-US"/>
                              </w:rPr>
                            </w:pPr>
                            <w:r w:rsidRPr="007B1625">
                              <w:rPr>
                                <w:rFonts w:ascii="Verdana" w:hAnsi="Verdana"/>
                                <w:b/>
                                <w:sz w:val="18"/>
                                <w:szCs w:val="18"/>
                                <w:lang w:val="en-US"/>
                              </w:rPr>
                              <w:t>MEASURING POINTS PROCESS EFFECTIVENESS &amp; CAUSE ANALYSIS</w:t>
                            </w:r>
                          </w:p>
                          <w:p w14:paraId="704E9CEC" w14:textId="77777777" w:rsidR="001D418A" w:rsidRPr="007B1625" w:rsidRDefault="00AB6898">
                            <w:pPr>
                              <w:tabs>
                                <w:tab w:val="left" w:pos="900"/>
                              </w:tabs>
                              <w:rPr>
                                <w:rFonts w:ascii="Verdana" w:hAnsi="Verdana"/>
                                <w:sz w:val="18"/>
                                <w:szCs w:val="18"/>
                                <w:lang w:val="en-US"/>
                              </w:rPr>
                            </w:pPr>
                            <w:r w:rsidRPr="007B1625">
                              <w:rPr>
                                <w:rFonts w:ascii="Verdana" w:hAnsi="Verdana"/>
                                <w:sz w:val="18"/>
                                <w:szCs w:val="18"/>
                                <w:lang w:val="en-US"/>
                              </w:rPr>
                              <w:t>14</w:t>
                            </w:r>
                            <w:r w:rsidR="007B1625" w:rsidRPr="007B1625">
                              <w:rPr>
                                <w:rFonts w:ascii="Verdana" w:hAnsi="Verdana"/>
                                <w:sz w:val="18"/>
                                <w:szCs w:val="18"/>
                                <w:lang w:val="en-US"/>
                              </w:rPr>
                              <w:t xml:space="preserve">.Characterisation and evaluation </w:t>
                            </w:r>
                          </w:p>
                          <w:p w14:paraId="12E70478" w14:textId="77777777" w:rsidR="001D418A" w:rsidRPr="007B1625" w:rsidRDefault="007B1625">
                            <w:pPr>
                              <w:pStyle w:val="BodyTextIndent"/>
                              <w:ind w:left="851"/>
                              <w:rPr>
                                <w:rFonts w:ascii="Verdana" w:hAnsi="Verdana"/>
                                <w:sz w:val="18"/>
                                <w:szCs w:val="18"/>
                                <w:lang w:val="en-US"/>
                              </w:rPr>
                            </w:pPr>
                            <w:r w:rsidRPr="007B1625">
                              <w:rPr>
                                <w:rFonts w:ascii="Verdana" w:hAnsi="Verdana"/>
                                <w:sz w:val="18"/>
                                <w:szCs w:val="18"/>
                                <w:lang w:val="en-US"/>
                              </w:rPr>
                              <w:t>Number of accessions subject to evaluation and characterisation on an annual basis as a percentage of total collection size: 2%</w:t>
                            </w:r>
                            <w:r w:rsidR="001E7DA6" w:rsidRPr="007B1625">
                              <w:rPr>
                                <w:rFonts w:ascii="Verdana" w:hAnsi="Verdana"/>
                                <w:sz w:val="18"/>
                                <w:szCs w:val="18"/>
                                <w:lang w:val="en-US"/>
                              </w:rPr>
                              <w:br/>
                            </w:r>
                            <w:r w:rsidRPr="007B1625">
                              <w:rPr>
                                <w:rFonts w:ascii="Verdana" w:hAnsi="Verdana"/>
                                <w:i/>
                                <w:sz w:val="18"/>
                                <w:szCs w:val="18"/>
                                <w:lang w:val="en-US"/>
                              </w:rPr>
                              <w:t>Measurement point: project annual collection management report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4BF5F6" id="_x0000_t202" coordsize="21600,21600" o:spt="202" path="m,l,21600r21600,l21600,xe">
                <v:stroke joinstyle="miter"/>
                <v:path gradientshapeok="t" o:connecttype="rect"/>
              </v:shapetype>
              <v:shape id="Text Box 2" o:spid="_x0000_s1026" type="#_x0000_t202" style="position:absolute;margin-left:-2pt;margin-top:11.4pt;width:425.95pt;height:62.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">
                <v:textbox style="mso-fit-shape-to-text:t">
                  <w:txbxContent>
                    <w:p w14:paraId="679593A9" w14:textId="77777777" w:rsidR="001D418A" w:rsidRPr="007B1625" w:rsidRDefault="007B1625">
                      <w:pPr>
                        <w:ind w:left="-567" w:firstLine="567"/>
                        <w:rPr>
                          <w:rFonts w:ascii="Verdana" w:hAnsi="Verdana"/>
                          <w:b/>
                          <w:sz w:val="18"/>
                          <w:szCs w:val="18"/>
                          <w:lang w:val="en-US"/>
                        </w:rPr>
                      </w:pPr>
                      <w:r w:rsidRPr="007B1625">
                        <w:rPr>
                          <w:rFonts w:ascii="Verdana" w:hAnsi="Verdana"/>
                          <w:b/>
                          <w:sz w:val="18"/>
                          <w:szCs w:val="18"/>
                          <w:lang w:val="en-US"/>
                        </w:rPr>
                        <w:t>MEASURING POINTS PROCESS EFFECTIVENESS &amp; CAUSE ANALYSIS</w:t>
                      </w:r>
                    </w:p>
                    <w:p w14:paraId="704E9CEC" w14:textId="77777777" w:rsidR="001D418A" w:rsidRPr="007B1625" w:rsidRDefault="00AB6898">
                      <w:pPr>
                        <w:tabs>
                          <w:tab w:val="left" w:pos="900"/>
                        </w:tabs>
                        <w:rPr>
                          <w:rFonts w:ascii="Verdana" w:hAnsi="Verdana"/>
                          <w:sz w:val="18"/>
                          <w:szCs w:val="18"/>
                          <w:lang w:val="en-US"/>
                        </w:rPr>
                      </w:pPr>
                      <w:r w:rsidRPr="007B1625">
                        <w:rPr>
                          <w:rFonts w:ascii="Verdana" w:hAnsi="Verdana"/>
                          <w:sz w:val="18"/>
                          <w:szCs w:val="18"/>
                          <w:lang w:val="en-US"/>
                        </w:rPr>
                        <w:t>14</w:t>
                      </w:r>
                      <w:r w:rsidR="007B1625" w:rsidRPr="007B1625">
                        <w:rPr>
                          <w:rFonts w:ascii="Verdana" w:hAnsi="Verdana"/>
                          <w:sz w:val="18"/>
                          <w:szCs w:val="18"/>
                          <w:lang w:val="en-US"/>
                        </w:rPr>
                        <w:t xml:space="preserve">.Characterisation and evaluation </w:t>
                      </w:r>
                    </w:p>
                    <w:p w14:paraId="12E70478" w14:textId="77777777" w:rsidR="001D418A" w:rsidRPr="007B1625" w:rsidRDefault="007B1625">
                      <w:pPr>
                        <w:pStyle w:val="BodyTextIndent"/>
                        <w:ind w:left="851"/>
                        <w:rPr>
                          <w:rFonts w:ascii="Verdana" w:hAnsi="Verdana"/>
                          <w:sz w:val="18"/>
                          <w:szCs w:val="18"/>
                          <w:lang w:val="en-US"/>
                        </w:rPr>
                      </w:pPr>
                      <w:r w:rsidRPr="007B1625">
                        <w:rPr>
                          <w:rFonts w:ascii="Verdana" w:hAnsi="Verdana"/>
                          <w:sz w:val="18"/>
                          <w:szCs w:val="18"/>
                          <w:lang w:val="en-US"/>
                        </w:rPr>
                        <w:t>Number of accessions subject to evaluation and characterisation on an annual basis as a percentage of total collection size: 2%</w:t>
                      </w:r>
                      <w:r w:rsidR="001E7DA6" w:rsidRPr="007B1625">
                        <w:rPr>
                          <w:rFonts w:ascii="Verdana" w:hAnsi="Verdana"/>
                          <w:sz w:val="18"/>
                          <w:szCs w:val="18"/>
                          <w:lang w:val="en-US"/>
                        </w:rPr>
                        <w:br/>
                      </w:r>
                      <w:r w:rsidRPr="007B1625">
                        <w:rPr>
                          <w:rFonts w:ascii="Verdana" w:hAnsi="Verdana"/>
                          <w:i/>
                          <w:sz w:val="18"/>
                          <w:szCs w:val="18"/>
                          <w:lang w:val="en-US"/>
                        </w:rPr>
                        <w:t>Measurement point: project annual collection management report</w:t>
                      </w:r>
                    </w:p>
                  </w:txbxContent>
                </v:textbox>
                <w10:wrap type="square"/>
              </v:shape>
            </w:pict>
          </mc:Fallback>
        </mc:AlternateContent>
      </w:r>
    </w:p>
    <w:p w14:paraId="18F085C2" w14:textId="77777777" w:rsidR="001D418A" w:rsidRDefault="007B1625">
      <w:pPr>
        <w:rPr>
          <w:rFonts w:ascii="Verdana" w:hAnsi="Verdana"/>
          <w:b/>
          <w:sz w:val="18"/>
          <w:szCs w:val="18"/>
          <w:lang w:val="nl-NL"/>
        </w:rPr>
      </w:pPr>
      <w:r w:rsidRPr="007B1625">
        <w:rPr>
          <w:rFonts w:ascii="Verdana" w:hAnsi="Verdana"/>
          <w:b/>
          <w:sz w:val="18"/>
          <w:szCs w:val="18"/>
          <w:lang w:val="en-US"/>
        </w:rPr>
        <w:br w:type="page"/>
      </w:r>
      <w:r w:rsidR="0006382A" w:rsidRPr="009E4BB6">
        <w:rPr>
          <w:rFonts w:ascii="Verdana" w:hAnsi="Verdana"/>
          <w:b/>
          <w:sz w:val="18"/>
          <w:szCs w:val="18"/>
          <w:lang w:val="nl-NL"/>
        </w:rPr>
        <w:lastRenderedPageBreak/>
        <w:t>ANNEX 1 HANDLING EMBARGOED DATA</w:t>
      </w:r>
    </w:p>
    <w:p w14:paraId="5E481647" w14:textId="77777777" w:rsidR="00BC247B" w:rsidRPr="009E4BB6" w:rsidRDefault="00BC247B" w:rsidP="0006382A">
      <w:pPr>
        <w:rPr>
          <w:rFonts w:ascii="Verdana" w:hAnsi="Verdana"/>
          <w:b/>
          <w:sz w:val="18"/>
          <w:szCs w:val="18"/>
          <w:lang w:val="nl-NL"/>
        </w:rPr>
      </w:pPr>
    </w:p>
    <w:p w14:paraId="0E8B817B" w14:textId="77777777" w:rsidR="0006382A" w:rsidRPr="009E4BB6" w:rsidRDefault="0006382A" w:rsidP="0006382A">
      <w:pPr>
        <w:rPr>
          <w:rFonts w:ascii="Verdana" w:hAnsi="Verdana"/>
          <w:b/>
          <w:sz w:val="18"/>
          <w:szCs w:val="18"/>
          <w:lang w:val="nl-NL"/>
        </w:rPr>
      </w:pPr>
    </w:p>
    <w:p w14:paraId="18F2FD70" w14:textId="77777777" w:rsidR="001D418A" w:rsidRDefault="007B1625">
      <w:pPr>
        <w:numPr>
          <w:ilvl w:val="0"/>
          <w:numId w:val="6"/>
        </w:numPr>
        <w:rPr>
          <w:rFonts w:ascii="Verdana" w:hAnsi="Verdana"/>
          <w:b/>
          <w:sz w:val="18"/>
          <w:szCs w:val="18"/>
          <w:lang w:val="nl-NL"/>
        </w:rPr>
      </w:pPr>
      <w:r w:rsidRPr="009E4BB6">
        <w:rPr>
          <w:rFonts w:ascii="Verdana" w:hAnsi="Verdana"/>
          <w:b/>
          <w:sz w:val="18"/>
          <w:szCs w:val="18"/>
          <w:lang w:val="nl-NL"/>
        </w:rPr>
        <w:t>Control data</w:t>
      </w:r>
    </w:p>
    <w:p w14:paraId="3CF17C8B" w14:textId="06A0C389" w:rsidR="001D418A" w:rsidRPr="007B1625" w:rsidRDefault="007B1625">
      <w:pPr>
        <w:ind w:left="567"/>
        <w:rPr>
          <w:rFonts w:ascii="Verdana" w:hAnsi="Verdana"/>
          <w:sz w:val="18"/>
          <w:szCs w:val="18"/>
          <w:lang w:val="en-US"/>
        </w:rPr>
      </w:pPr>
      <w:r w:rsidRPr="007B1625">
        <w:rPr>
          <w:rFonts w:ascii="Verdana" w:hAnsi="Verdana"/>
          <w:sz w:val="18"/>
          <w:szCs w:val="18"/>
          <w:lang w:val="en-US"/>
        </w:rPr>
        <w:t xml:space="preserve">Once embargo data is received by a CGN staff member, usually a </w:t>
      </w:r>
      <w:r w:rsidR="00935447">
        <w:rPr>
          <w:rFonts w:ascii="Verdana" w:hAnsi="Verdana"/>
          <w:sz w:val="18"/>
          <w:szCs w:val="18"/>
          <w:lang w:val="en-US"/>
        </w:rPr>
        <w:t>curator</w:t>
      </w:r>
      <w:r w:rsidRPr="007B1625">
        <w:rPr>
          <w:rFonts w:ascii="Verdana" w:hAnsi="Verdana"/>
          <w:sz w:val="18"/>
          <w:szCs w:val="18"/>
          <w:lang w:val="en-US"/>
        </w:rPr>
        <w:t xml:space="preserve">, they check whether the data corresponds to </w:t>
      </w:r>
      <w:r w:rsidR="0054148F">
        <w:rPr>
          <w:rFonts w:ascii="Verdana" w:hAnsi="Verdana"/>
          <w:sz w:val="18"/>
          <w:szCs w:val="18"/>
          <w:lang w:val="en-US"/>
        </w:rPr>
        <w:t>the</w:t>
      </w:r>
      <w:r w:rsidRPr="007B1625">
        <w:rPr>
          <w:rFonts w:ascii="Verdana" w:hAnsi="Verdana"/>
          <w:sz w:val="18"/>
          <w:szCs w:val="18"/>
          <w:lang w:val="en-US"/>
        </w:rPr>
        <w:t xml:space="preserve"> agreements made with the data supplier.</w:t>
      </w:r>
    </w:p>
    <w:p w14:paraId="1743A595" w14:textId="77777777" w:rsidR="0006382A" w:rsidRPr="007B1625" w:rsidRDefault="0006382A" w:rsidP="0006382A">
      <w:pPr>
        <w:rPr>
          <w:rFonts w:ascii="Verdana" w:hAnsi="Verdana"/>
          <w:sz w:val="18"/>
          <w:szCs w:val="18"/>
          <w:lang w:val="en-US"/>
        </w:rPr>
      </w:pPr>
    </w:p>
    <w:p w14:paraId="19340ABD" w14:textId="77777777" w:rsidR="001D418A" w:rsidRDefault="007B1625">
      <w:pPr>
        <w:numPr>
          <w:ilvl w:val="0"/>
          <w:numId w:val="6"/>
        </w:numPr>
        <w:rPr>
          <w:rFonts w:ascii="Verdana" w:hAnsi="Verdana"/>
          <w:b/>
          <w:sz w:val="18"/>
          <w:szCs w:val="18"/>
          <w:lang w:val="nl-NL"/>
        </w:rPr>
      </w:pPr>
      <w:r w:rsidRPr="009E4BB6">
        <w:rPr>
          <w:rFonts w:ascii="Verdana" w:hAnsi="Verdana"/>
          <w:b/>
          <w:sz w:val="18"/>
          <w:szCs w:val="18"/>
          <w:lang w:val="nl-NL"/>
        </w:rPr>
        <w:t>Data assessment</w:t>
      </w:r>
    </w:p>
    <w:p w14:paraId="7C8CC4AE" w14:textId="73A3655F" w:rsidR="001D418A" w:rsidRPr="007B1625" w:rsidRDefault="007B1625">
      <w:pPr>
        <w:ind w:left="567"/>
        <w:rPr>
          <w:rFonts w:ascii="Verdana" w:hAnsi="Verdana"/>
          <w:sz w:val="18"/>
          <w:szCs w:val="18"/>
          <w:lang w:val="en-US"/>
        </w:rPr>
      </w:pPr>
      <w:r w:rsidRPr="007B1625">
        <w:rPr>
          <w:rFonts w:ascii="Verdana" w:hAnsi="Verdana"/>
          <w:sz w:val="18"/>
          <w:szCs w:val="18"/>
          <w:lang w:val="en-US"/>
        </w:rPr>
        <w:t xml:space="preserve">The curator reviews the </w:t>
      </w:r>
      <w:r w:rsidR="00A46C08" w:rsidRPr="007B1625">
        <w:rPr>
          <w:rFonts w:ascii="Verdana" w:hAnsi="Verdana"/>
          <w:sz w:val="18"/>
          <w:szCs w:val="18"/>
          <w:lang w:val="en-US"/>
        </w:rPr>
        <w:t xml:space="preserve">digital </w:t>
      </w:r>
      <w:r w:rsidRPr="007B1625">
        <w:rPr>
          <w:rFonts w:ascii="Verdana" w:hAnsi="Verdana"/>
          <w:sz w:val="18"/>
          <w:szCs w:val="18"/>
          <w:lang w:val="en-US"/>
        </w:rPr>
        <w:t xml:space="preserve">data and assesses whether it is suitable to be entered. For this, </w:t>
      </w:r>
      <w:r w:rsidR="00607615">
        <w:rPr>
          <w:rFonts w:ascii="Verdana" w:hAnsi="Verdana"/>
          <w:sz w:val="18"/>
          <w:szCs w:val="18"/>
          <w:lang w:val="en-US"/>
        </w:rPr>
        <w:t>(s)</w:t>
      </w:r>
      <w:r w:rsidRPr="007B1625">
        <w:rPr>
          <w:rFonts w:ascii="Verdana" w:hAnsi="Verdana"/>
          <w:sz w:val="18"/>
          <w:szCs w:val="18"/>
          <w:lang w:val="en-US"/>
        </w:rPr>
        <w:t xml:space="preserve">he checks whether it is clear which material has been evaluated, which properties have been evaluated and whether it is sufficiently clear how this was done to be able to interpret the results. If this is not clear, the data suppliers are contacted. </w:t>
      </w:r>
      <w:r w:rsidRPr="007B1625">
        <w:rPr>
          <w:rFonts w:ascii="Verdana" w:hAnsi="Verdana"/>
          <w:sz w:val="18"/>
          <w:szCs w:val="18"/>
          <w:lang w:val="en-US"/>
        </w:rPr>
        <w:br/>
      </w:r>
    </w:p>
    <w:p w14:paraId="3F62471D" w14:textId="77777777" w:rsidR="001D418A" w:rsidRDefault="007B1625">
      <w:pPr>
        <w:numPr>
          <w:ilvl w:val="0"/>
          <w:numId w:val="6"/>
        </w:numPr>
        <w:rPr>
          <w:rFonts w:ascii="Verdana" w:hAnsi="Verdana"/>
          <w:b/>
          <w:sz w:val="18"/>
          <w:szCs w:val="18"/>
          <w:lang w:val="nl-NL"/>
        </w:rPr>
      </w:pPr>
      <w:r w:rsidRPr="009E4BB6">
        <w:rPr>
          <w:rFonts w:ascii="Verdana" w:hAnsi="Verdana"/>
          <w:b/>
          <w:sz w:val="18"/>
          <w:szCs w:val="18"/>
          <w:lang w:val="nl-NL"/>
        </w:rPr>
        <w:t>Copy and archive</w:t>
      </w:r>
    </w:p>
    <w:p w14:paraId="384EFFC6" w14:textId="77777777" w:rsidR="001D418A" w:rsidRPr="007B1625" w:rsidRDefault="007B1625">
      <w:pPr>
        <w:ind w:left="567"/>
        <w:rPr>
          <w:rFonts w:ascii="Verdana" w:hAnsi="Verdana"/>
          <w:sz w:val="18"/>
          <w:szCs w:val="18"/>
          <w:lang w:val="en-US"/>
        </w:rPr>
      </w:pPr>
      <w:r w:rsidRPr="007B1625">
        <w:rPr>
          <w:rFonts w:ascii="Verdana" w:hAnsi="Verdana"/>
          <w:sz w:val="18"/>
          <w:szCs w:val="18"/>
          <w:lang w:val="en-US"/>
        </w:rPr>
        <w:t xml:space="preserve">Once it is certain that the data can be entered into </w:t>
      </w:r>
      <w:r w:rsidR="001F58D1" w:rsidRPr="007B1625">
        <w:rPr>
          <w:rFonts w:ascii="Verdana" w:hAnsi="Verdana"/>
          <w:sz w:val="18"/>
          <w:szCs w:val="18"/>
          <w:lang w:val="en-US"/>
        </w:rPr>
        <w:t xml:space="preserve">GENIS </w:t>
      </w:r>
      <w:r w:rsidRPr="007B1625">
        <w:rPr>
          <w:rFonts w:ascii="Verdana" w:hAnsi="Verdana"/>
          <w:sz w:val="18"/>
          <w:szCs w:val="18"/>
          <w:lang w:val="en-US"/>
        </w:rPr>
        <w:t xml:space="preserve">after the embargo period, the project documentation officer </w:t>
      </w:r>
      <w:r w:rsidR="00A46C08" w:rsidRPr="007B1625">
        <w:rPr>
          <w:rFonts w:ascii="Verdana" w:hAnsi="Verdana"/>
          <w:sz w:val="18"/>
          <w:szCs w:val="18"/>
          <w:lang w:val="en-US"/>
        </w:rPr>
        <w:t xml:space="preserve">or curator </w:t>
      </w:r>
      <w:r w:rsidRPr="007B1625">
        <w:rPr>
          <w:rFonts w:ascii="Verdana" w:hAnsi="Verdana"/>
          <w:sz w:val="18"/>
          <w:szCs w:val="18"/>
          <w:lang w:val="en-US"/>
        </w:rPr>
        <w:t xml:space="preserve">will copy the information as received by the donor, plus any additional information (spreadsheet) and archive </w:t>
      </w:r>
      <w:r w:rsidR="002D4DBC" w:rsidRPr="007B1625">
        <w:rPr>
          <w:rFonts w:ascii="Verdana" w:hAnsi="Verdana"/>
          <w:sz w:val="18"/>
          <w:szCs w:val="18"/>
          <w:lang w:val="en-US"/>
        </w:rPr>
        <w:t>it on a network drive</w:t>
      </w:r>
      <w:r w:rsidRPr="007B1625">
        <w:rPr>
          <w:rFonts w:ascii="Verdana" w:hAnsi="Verdana"/>
          <w:sz w:val="18"/>
          <w:szCs w:val="18"/>
          <w:lang w:val="en-US"/>
        </w:rPr>
        <w:t xml:space="preserve">. </w:t>
      </w:r>
      <w:r w:rsidRPr="007B1625">
        <w:rPr>
          <w:rFonts w:ascii="Verdana" w:hAnsi="Verdana"/>
          <w:sz w:val="18"/>
          <w:szCs w:val="18"/>
          <w:lang w:val="en-US"/>
        </w:rPr>
        <w:br/>
      </w:r>
    </w:p>
    <w:p w14:paraId="49B71968" w14:textId="77777777" w:rsidR="001D418A" w:rsidRDefault="007B1625">
      <w:pPr>
        <w:numPr>
          <w:ilvl w:val="0"/>
          <w:numId w:val="6"/>
        </w:numPr>
        <w:rPr>
          <w:rFonts w:ascii="Verdana" w:hAnsi="Verdana"/>
          <w:b/>
          <w:sz w:val="18"/>
          <w:szCs w:val="18"/>
          <w:lang w:val="nl-NL"/>
        </w:rPr>
      </w:pPr>
      <w:r w:rsidRPr="009E4BB6">
        <w:rPr>
          <w:rFonts w:ascii="Verdana" w:hAnsi="Verdana"/>
          <w:b/>
          <w:sz w:val="18"/>
          <w:szCs w:val="18"/>
          <w:lang w:val="nl-NL"/>
        </w:rPr>
        <w:t>Registration embargo</w:t>
      </w:r>
    </w:p>
    <w:p w14:paraId="105699C1" w14:textId="77777777" w:rsidR="001D418A" w:rsidRPr="007B1625" w:rsidRDefault="007B1625">
      <w:pPr>
        <w:ind w:left="567"/>
        <w:rPr>
          <w:rFonts w:ascii="Verdana" w:hAnsi="Verdana"/>
          <w:sz w:val="18"/>
          <w:szCs w:val="18"/>
          <w:lang w:val="en-US"/>
        </w:rPr>
      </w:pPr>
      <w:r w:rsidRPr="007B1625">
        <w:rPr>
          <w:rFonts w:ascii="Verdana" w:hAnsi="Verdana"/>
          <w:sz w:val="18"/>
          <w:szCs w:val="18"/>
          <w:lang w:val="en-US"/>
        </w:rPr>
        <w:t xml:space="preserve">The </w:t>
      </w:r>
      <w:r w:rsidR="001F58D1" w:rsidRPr="007B1625">
        <w:rPr>
          <w:rFonts w:ascii="Verdana" w:hAnsi="Verdana"/>
          <w:sz w:val="18"/>
          <w:szCs w:val="18"/>
          <w:lang w:val="en-US"/>
        </w:rPr>
        <w:t xml:space="preserve">place </w:t>
      </w:r>
      <w:r w:rsidR="00A46C08" w:rsidRPr="007B1625">
        <w:rPr>
          <w:rFonts w:ascii="Verdana" w:hAnsi="Verdana"/>
          <w:sz w:val="18"/>
          <w:szCs w:val="18"/>
          <w:lang w:val="en-US"/>
        </w:rPr>
        <w:t xml:space="preserve">where the data is kept will indicate when </w:t>
      </w:r>
      <w:r w:rsidR="0006382A" w:rsidRPr="007B1625">
        <w:rPr>
          <w:rFonts w:ascii="Verdana" w:hAnsi="Verdana"/>
          <w:sz w:val="18"/>
          <w:szCs w:val="18"/>
          <w:lang w:val="en-US"/>
        </w:rPr>
        <w:t>the embargo has expired.</w:t>
      </w:r>
      <w:r w:rsidR="0006382A" w:rsidRPr="007B1625">
        <w:rPr>
          <w:rFonts w:ascii="Verdana" w:hAnsi="Verdana"/>
          <w:sz w:val="18"/>
          <w:szCs w:val="18"/>
          <w:lang w:val="en-US"/>
        </w:rPr>
        <w:br/>
      </w:r>
    </w:p>
    <w:p w14:paraId="655534F6" w14:textId="77777777" w:rsidR="001D418A" w:rsidRDefault="007B1625">
      <w:pPr>
        <w:numPr>
          <w:ilvl w:val="0"/>
          <w:numId w:val="6"/>
        </w:numPr>
        <w:rPr>
          <w:rFonts w:ascii="Verdana" w:hAnsi="Verdana"/>
          <w:b/>
          <w:sz w:val="18"/>
          <w:szCs w:val="18"/>
          <w:lang w:val="nl-NL"/>
        </w:rPr>
      </w:pPr>
      <w:r w:rsidRPr="009E4BB6">
        <w:rPr>
          <w:rFonts w:ascii="Verdana" w:hAnsi="Verdana"/>
          <w:b/>
          <w:sz w:val="18"/>
          <w:szCs w:val="18"/>
          <w:lang w:val="nl-NL"/>
        </w:rPr>
        <w:t>Monitoring embargo deadline</w:t>
      </w:r>
    </w:p>
    <w:p w14:paraId="10DDB5E2" w14:textId="5EA51660" w:rsidR="001D418A" w:rsidRPr="007B1625" w:rsidRDefault="007B1625">
      <w:pPr>
        <w:ind w:left="567"/>
        <w:rPr>
          <w:rFonts w:ascii="Verdana" w:hAnsi="Verdana"/>
          <w:sz w:val="18"/>
          <w:szCs w:val="18"/>
          <w:lang w:val="en-US"/>
        </w:rPr>
      </w:pPr>
      <w:r w:rsidRPr="007B1625">
        <w:rPr>
          <w:rFonts w:ascii="Verdana" w:hAnsi="Verdana"/>
          <w:sz w:val="18"/>
          <w:szCs w:val="18"/>
          <w:lang w:val="en-US"/>
        </w:rPr>
        <w:t xml:space="preserve">The handling </w:t>
      </w:r>
      <w:r w:rsidR="004A705F">
        <w:rPr>
          <w:rFonts w:ascii="Verdana" w:hAnsi="Verdana"/>
          <w:sz w:val="18"/>
          <w:szCs w:val="18"/>
          <w:lang w:val="en-US"/>
        </w:rPr>
        <w:t>c</w:t>
      </w:r>
      <w:r w:rsidRPr="007B1625">
        <w:rPr>
          <w:rFonts w:ascii="Verdana" w:hAnsi="Verdana"/>
          <w:sz w:val="18"/>
          <w:szCs w:val="18"/>
          <w:lang w:val="en-US"/>
        </w:rPr>
        <w:t>urator is responsible for monitoring embargo deadlines.</w:t>
      </w:r>
    </w:p>
    <w:p w14:paraId="249763E3" w14:textId="77777777" w:rsidR="0006382A" w:rsidRPr="007B1625" w:rsidRDefault="0006382A" w:rsidP="0006382A">
      <w:pPr>
        <w:rPr>
          <w:rFonts w:ascii="Verdana" w:hAnsi="Verdana"/>
          <w:sz w:val="18"/>
          <w:szCs w:val="18"/>
          <w:lang w:val="en-US"/>
        </w:rPr>
      </w:pPr>
    </w:p>
    <w:p w14:paraId="5EDFCB90" w14:textId="77777777" w:rsidR="001D418A" w:rsidRDefault="007B1625">
      <w:pPr>
        <w:numPr>
          <w:ilvl w:val="0"/>
          <w:numId w:val="6"/>
        </w:numPr>
        <w:rPr>
          <w:rFonts w:ascii="Verdana" w:hAnsi="Verdana"/>
          <w:sz w:val="18"/>
          <w:szCs w:val="18"/>
          <w:lang w:val="nl-NL"/>
        </w:rPr>
      </w:pPr>
      <w:r w:rsidRPr="009E4BB6">
        <w:rPr>
          <w:rFonts w:ascii="Verdana" w:hAnsi="Verdana"/>
          <w:b/>
          <w:sz w:val="18"/>
          <w:szCs w:val="18"/>
          <w:lang w:val="nl-NL"/>
        </w:rPr>
        <w:t>Expiry of embargoes</w:t>
      </w:r>
    </w:p>
    <w:p w14:paraId="4A9133D2" w14:textId="13CA1100" w:rsidR="001D418A" w:rsidRPr="007B1625" w:rsidRDefault="007B1625">
      <w:pPr>
        <w:pStyle w:val="BodyTextIndent2"/>
        <w:ind w:left="567" w:firstLine="0"/>
        <w:rPr>
          <w:rFonts w:ascii="Verdana" w:hAnsi="Verdana"/>
          <w:sz w:val="18"/>
          <w:szCs w:val="18"/>
          <w:lang w:val="en-US"/>
        </w:rPr>
      </w:pPr>
      <w:r w:rsidRPr="007B1625">
        <w:rPr>
          <w:rFonts w:ascii="Verdana" w:hAnsi="Verdana"/>
          <w:sz w:val="18"/>
          <w:szCs w:val="18"/>
          <w:lang w:val="en-US"/>
        </w:rPr>
        <w:t xml:space="preserve">Once the embargo expires, </w:t>
      </w:r>
      <w:r w:rsidR="00FE2964" w:rsidRPr="007B1625">
        <w:rPr>
          <w:rFonts w:ascii="Verdana" w:hAnsi="Verdana"/>
          <w:sz w:val="18"/>
          <w:szCs w:val="18"/>
          <w:lang w:val="en-US"/>
        </w:rPr>
        <w:t>the trustee indicates that the information is freely available for inclusion in G</w:t>
      </w:r>
      <w:r w:rsidR="00087F02">
        <w:rPr>
          <w:rFonts w:ascii="Verdana" w:hAnsi="Verdana"/>
          <w:sz w:val="18"/>
          <w:szCs w:val="18"/>
          <w:lang w:val="en-US"/>
        </w:rPr>
        <w:t>ENIS</w:t>
      </w:r>
      <w:r w:rsidR="002D4DBC" w:rsidRPr="007B1625">
        <w:rPr>
          <w:rFonts w:ascii="Verdana" w:hAnsi="Verdana"/>
          <w:sz w:val="18"/>
          <w:szCs w:val="18"/>
          <w:lang w:val="en-US"/>
        </w:rPr>
        <w:t>.</w:t>
      </w:r>
    </w:p>
    <w:p w14:paraId="3F7DD755" w14:textId="77777777" w:rsidR="0006382A" w:rsidRPr="007B1625" w:rsidRDefault="0006382A" w:rsidP="0006382A">
      <w:pPr>
        <w:rPr>
          <w:rFonts w:ascii="Verdana" w:hAnsi="Verdana"/>
          <w:sz w:val="18"/>
          <w:szCs w:val="18"/>
          <w:lang w:val="en-US"/>
        </w:rPr>
      </w:pPr>
    </w:p>
    <w:p w14:paraId="59BA9BC3" w14:textId="77777777" w:rsidR="001D418A" w:rsidRDefault="007B1625">
      <w:pPr>
        <w:numPr>
          <w:ilvl w:val="0"/>
          <w:numId w:val="6"/>
        </w:numPr>
        <w:rPr>
          <w:rFonts w:ascii="Verdana" w:hAnsi="Verdana"/>
          <w:b/>
          <w:sz w:val="18"/>
          <w:szCs w:val="18"/>
          <w:lang w:val="nl-NL"/>
        </w:rPr>
      </w:pPr>
      <w:r w:rsidRPr="009E4BB6">
        <w:rPr>
          <w:rFonts w:ascii="Verdana" w:hAnsi="Verdana"/>
          <w:b/>
          <w:sz w:val="18"/>
          <w:szCs w:val="18"/>
          <w:lang w:val="nl-NL"/>
        </w:rPr>
        <w:t>Entry CGN database</w:t>
      </w:r>
    </w:p>
    <w:p w14:paraId="2FBB08C3" w14:textId="5FEE208A" w:rsidR="006E1AFF" w:rsidRPr="00087F02" w:rsidRDefault="007B1625" w:rsidP="00087F02">
      <w:pPr>
        <w:ind w:left="567"/>
        <w:rPr>
          <w:rFonts w:ascii="Verdana" w:hAnsi="Verdana"/>
          <w:sz w:val="18"/>
          <w:szCs w:val="18"/>
          <w:lang w:val="en-US"/>
        </w:rPr>
      </w:pPr>
      <w:r w:rsidRPr="007B1625">
        <w:rPr>
          <w:rFonts w:ascii="Verdana" w:hAnsi="Verdana"/>
          <w:sz w:val="18"/>
          <w:szCs w:val="18"/>
          <w:lang w:val="en-US"/>
        </w:rPr>
        <w:t xml:space="preserve">The project documentation officer enters the information into </w:t>
      </w:r>
      <w:r w:rsidR="001F58D1" w:rsidRPr="007B1625">
        <w:rPr>
          <w:rFonts w:ascii="Verdana" w:hAnsi="Verdana"/>
          <w:sz w:val="18"/>
          <w:szCs w:val="18"/>
          <w:lang w:val="en-US"/>
        </w:rPr>
        <w:t>GENIS</w:t>
      </w:r>
      <w:r w:rsidRPr="007B1625">
        <w:rPr>
          <w:rFonts w:ascii="Verdana" w:hAnsi="Verdana"/>
          <w:sz w:val="18"/>
          <w:szCs w:val="18"/>
          <w:lang w:val="en-US"/>
        </w:rPr>
        <w:t xml:space="preserve">. </w:t>
      </w:r>
    </w:p>
    <w:sectPr w:rsidR="006E1AFF" w:rsidRPr="00087F02">
      <w:headerReference w:type="default" r:id="rId7"/>
      <w:footerReference w:type="default" r:id="rId8"/>
      <w:pgSz w:w="11906" w:h="16838" w:code="9"/>
      <w:pgMar w:top="1440" w:right="1701" w:bottom="1440" w:left="1701" w:header="720" w:footer="3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9982" w14:textId="77777777" w:rsidR="007661FB" w:rsidRDefault="007661FB">
      <w:r>
        <w:separator/>
      </w:r>
    </w:p>
  </w:endnote>
  <w:endnote w:type="continuationSeparator" w:id="0">
    <w:p w14:paraId="47F7AE97" w14:textId="77777777" w:rsidR="007661FB" w:rsidRDefault="0076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1571"/>
      <w:gridCol w:w="1919"/>
      <w:gridCol w:w="2442"/>
      <w:gridCol w:w="1221"/>
    </w:tblGrid>
    <w:tr w:rsidR="009008AE" w:rsidRPr="00372EF8" w14:paraId="2CF21DFD" w14:textId="77777777" w:rsidTr="009008AE">
      <w:trPr>
        <w:trHeight w:val="486"/>
      </w:trPr>
      <w:tc>
        <w:tcPr>
          <w:tcW w:w="873" w:type="dxa"/>
        </w:tcPr>
        <w:p w14:paraId="4E7876F2"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author</w:t>
          </w:r>
        </w:p>
      </w:tc>
      <w:tc>
        <w:tcPr>
          <w:tcW w:w="1571" w:type="dxa"/>
        </w:tcPr>
        <w:p w14:paraId="7E780F02"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14:shadow w14:blurRad="50800" w14:dist="38100" w14:dir="2700000" w14:sx="100000" w14:sy="100000" w14:kx="0" w14:ky="0" w14:algn="tl">
                <w14:srgbClr w14:val="000000">
                  <w14:alpha w14:val="60000"/>
                </w14:srgbClr>
              </w14:shadow>
            </w:rPr>
            <w:t>Process responsible</w:t>
          </w:r>
        </w:p>
      </w:tc>
      <w:tc>
        <w:tcPr>
          <w:tcW w:w="1919" w:type="dxa"/>
        </w:tcPr>
        <w:p w14:paraId="5EE4AB8C"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Authorisation</w:t>
          </w:r>
        </w:p>
      </w:tc>
      <w:tc>
        <w:tcPr>
          <w:tcW w:w="2442" w:type="dxa"/>
        </w:tcPr>
        <w:p w14:paraId="05960263"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Date of validity declaration</w:t>
          </w:r>
        </w:p>
      </w:tc>
      <w:tc>
        <w:tcPr>
          <w:tcW w:w="1221" w:type="dxa"/>
        </w:tcPr>
        <w:p w14:paraId="66E65259"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Version no.</w:t>
          </w:r>
        </w:p>
      </w:tc>
    </w:tr>
    <w:tr w:rsidR="009008AE" w:rsidRPr="00372EF8" w14:paraId="04530060" w14:textId="77777777" w:rsidTr="009008AE">
      <w:trPr>
        <w:cantSplit/>
        <w:trHeight w:val="245"/>
      </w:trPr>
      <w:tc>
        <w:tcPr>
          <w:tcW w:w="873" w:type="dxa"/>
          <w:vMerge w:val="restart"/>
        </w:tcPr>
        <w:p w14:paraId="5F753DD6"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LG</w:t>
          </w:r>
        </w:p>
      </w:tc>
      <w:tc>
        <w:tcPr>
          <w:tcW w:w="1571" w:type="dxa"/>
          <w:vMerge w:val="restart"/>
        </w:tcPr>
        <w:p w14:paraId="2FD22D29"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TH</w:t>
          </w:r>
        </w:p>
      </w:tc>
      <w:tc>
        <w:tcPr>
          <w:tcW w:w="1919" w:type="dxa"/>
          <w:vMerge w:val="restart"/>
        </w:tcPr>
        <w:p w14:paraId="2D1B3F62" w14:textId="77777777" w:rsidR="001D418A" w:rsidRDefault="007B1625">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442" w:type="dxa"/>
          <w:vMerge w:val="restart"/>
        </w:tcPr>
        <w:p w14:paraId="095B6301" w14:textId="77777777" w:rsidR="001D418A" w:rsidRDefault="00756CDD">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28-02-2024</w:t>
          </w:r>
        </w:p>
      </w:tc>
      <w:tc>
        <w:tcPr>
          <w:tcW w:w="1221" w:type="dxa"/>
          <w:vMerge w:val="restart"/>
        </w:tcPr>
        <w:p w14:paraId="11F1CD05" w14:textId="77777777" w:rsidR="001D418A" w:rsidRDefault="007B1625">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3</w:t>
          </w:r>
        </w:p>
      </w:tc>
    </w:tr>
    <w:tr w:rsidR="009008AE" w:rsidRPr="00372EF8" w14:paraId="5BE5852A" w14:textId="77777777" w:rsidTr="009008AE">
      <w:trPr>
        <w:cantSplit/>
        <w:trHeight w:val="245"/>
      </w:trPr>
      <w:tc>
        <w:tcPr>
          <w:tcW w:w="873" w:type="dxa"/>
          <w:vMerge/>
        </w:tcPr>
        <w:p w14:paraId="7F422841"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1571" w:type="dxa"/>
          <w:vMerge/>
        </w:tcPr>
        <w:p w14:paraId="280F4D76"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1919" w:type="dxa"/>
          <w:vMerge/>
        </w:tcPr>
        <w:p w14:paraId="6E1B677B"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2442" w:type="dxa"/>
          <w:vMerge/>
        </w:tcPr>
        <w:p w14:paraId="2C5DBBB1"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1221" w:type="dxa"/>
          <w:vMerge/>
        </w:tcPr>
        <w:p w14:paraId="22F63F42"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r>
  </w:tbl>
  <w:p w14:paraId="0F329352" w14:textId="77777777" w:rsidR="00856232" w:rsidRDefault="00856232">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C662" w14:textId="77777777" w:rsidR="007661FB" w:rsidRDefault="007661FB">
      <w:r>
        <w:separator/>
      </w:r>
    </w:p>
  </w:footnote>
  <w:footnote w:type="continuationSeparator" w:id="0">
    <w:p w14:paraId="1062F882" w14:textId="77777777" w:rsidR="007661FB" w:rsidRDefault="0076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268"/>
    </w:tblGrid>
    <w:tr w:rsidR="00856232" w14:paraId="426C577C" w14:textId="77777777" w:rsidTr="002D4DBC">
      <w:trPr>
        <w:trHeight w:val="841"/>
      </w:trPr>
      <w:tc>
        <w:tcPr>
          <w:tcW w:w="7338" w:type="dxa"/>
        </w:tcPr>
        <w:p w14:paraId="6B6D5ED1" w14:textId="77777777" w:rsidR="001D418A" w:rsidRPr="007B1625" w:rsidRDefault="007B1625">
          <w:pPr>
            <w:pStyle w:val="Header"/>
            <w:rPr>
              <w:rStyle w:val="PageNumber"/>
              <w:sz w:val="16"/>
              <w:lang w:val="en-US"/>
            </w:rPr>
          </w:pPr>
          <w:r w:rsidRPr="007B1625">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7B1625">
            <w:rPr>
              <w:rFonts w:ascii="Tahoma" w:hAnsi="Tahoma"/>
              <w:sz w:val="40"/>
              <w:lang w:val="en-US"/>
              <w14:shadow w14:blurRad="50800" w14:dist="38100" w14:dir="2700000" w14:sx="100000" w14:sy="100000" w14:kx="0" w14:ky="0" w14:algn="tl">
                <w14:srgbClr w14:val="000000">
                  <w14:alpha w14:val="60000"/>
                </w14:srgbClr>
              </w14:shadow>
            </w:rPr>
            <w:br/>
          </w:r>
          <w:r w:rsidRPr="007B1625">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2268" w:type="dxa"/>
        </w:tcPr>
        <w:p w14:paraId="5DDB5582" w14:textId="77777777" w:rsidR="00856232" w:rsidRDefault="00372EF8">
          <w:pPr>
            <w:pStyle w:val="Header"/>
            <w:rPr>
              <w:rStyle w:val="PageNumber"/>
              <w:sz w:val="16"/>
            </w:rPr>
          </w:pPr>
          <w:r>
            <w:rPr>
              <w:rFonts w:ascii="Tahoma" w:hAnsi="Tahoma"/>
              <w:b/>
              <w:noProof/>
              <w:sz w:val="40"/>
              <w:lang w:eastAsia="en-GB"/>
            </w:rPr>
            <w:drawing>
              <wp:inline distT="0" distB="0" distL="0" distR="0" wp14:anchorId="174A412C" wp14:editId="16B2E205">
                <wp:extent cx="596265" cy="49276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492760"/>
                        </a:xfrm>
                        <a:prstGeom prst="rect">
                          <a:avLst/>
                        </a:prstGeom>
                        <a:noFill/>
                        <a:ln>
                          <a:noFill/>
                        </a:ln>
                      </pic:spPr>
                    </pic:pic>
                  </a:graphicData>
                </a:graphic>
              </wp:inline>
            </w:drawing>
          </w:r>
        </w:p>
      </w:tc>
    </w:tr>
    <w:tr w:rsidR="00856232" w:rsidRPr="00756CDD" w14:paraId="05F50F05" w14:textId="77777777" w:rsidTr="002D4DBC">
      <w:trPr>
        <w:trHeight w:val="406"/>
      </w:trPr>
      <w:tc>
        <w:tcPr>
          <w:tcW w:w="7338" w:type="dxa"/>
        </w:tcPr>
        <w:p w14:paraId="5165022B" w14:textId="77777777" w:rsidR="001D418A" w:rsidRDefault="007B1625">
          <w:pPr>
            <w:pStyle w:val="Header"/>
            <w:tabs>
              <w:tab w:val="left" w:pos="851"/>
            </w:tabs>
            <w:rPr>
              <w:rStyle w:val="PageNumber"/>
              <w:b/>
              <w:sz w:val="16"/>
              <w:lang w:val="nl-NL"/>
            </w:rPr>
          </w:pPr>
          <w:r>
            <w:rPr>
              <w:rStyle w:val="PageNumber"/>
              <w:b/>
              <w:sz w:val="16"/>
              <w:lang w:val="nl-NL"/>
            </w:rPr>
            <w:t xml:space="preserve">6 </w:t>
          </w:r>
          <w:r>
            <w:rPr>
              <w:rStyle w:val="PageNumber"/>
              <w:b/>
              <w:sz w:val="16"/>
              <w:lang w:val="nl-NL"/>
            </w:rPr>
            <w:tab/>
            <w:t>PGR</w:t>
          </w:r>
        </w:p>
        <w:p w14:paraId="2B110875" w14:textId="179E618C" w:rsidR="001D418A" w:rsidRDefault="007B1625">
          <w:pPr>
            <w:pStyle w:val="Header"/>
            <w:tabs>
              <w:tab w:val="left" w:pos="851"/>
            </w:tabs>
            <w:rPr>
              <w:rStyle w:val="PageNumber"/>
              <w:sz w:val="16"/>
              <w:lang w:val="nl-NL"/>
            </w:rPr>
          </w:pPr>
          <w:r>
            <w:rPr>
              <w:rStyle w:val="PageNumber"/>
              <w:sz w:val="16"/>
              <w:lang w:val="nl-NL"/>
            </w:rPr>
            <w:t>6.2.</w:t>
          </w:r>
          <w:r w:rsidR="00856232">
            <w:rPr>
              <w:rStyle w:val="PageNumber"/>
              <w:sz w:val="16"/>
              <w:lang w:val="nl-NL"/>
            </w:rPr>
            <w:t>47</w:t>
          </w:r>
          <w:r>
            <w:rPr>
              <w:rStyle w:val="PageNumber"/>
              <w:sz w:val="16"/>
              <w:lang w:val="nl-NL"/>
            </w:rPr>
            <w:t xml:space="preserve">            </w:t>
          </w:r>
          <w:r w:rsidR="00856232">
            <w:rPr>
              <w:rStyle w:val="PageNumber"/>
              <w:sz w:val="16"/>
              <w:lang w:val="nl-NL"/>
            </w:rPr>
            <w:t xml:space="preserve">CHARACTERISATION AND EVALUATION </w:t>
          </w:r>
        </w:p>
      </w:tc>
      <w:tc>
        <w:tcPr>
          <w:tcW w:w="2268" w:type="dxa"/>
        </w:tcPr>
        <w:p w14:paraId="477E4C5E" w14:textId="77777777" w:rsidR="001D418A" w:rsidRDefault="007B1625">
          <w:pPr>
            <w:pStyle w:val="Header"/>
            <w:rPr>
              <w:rStyle w:val="PageNumber"/>
              <w:sz w:val="16"/>
              <w:szCs w:val="16"/>
              <w:lang w:val="nl-NL"/>
            </w:rPr>
          </w:pPr>
          <w:r w:rsidRPr="002D4DBC">
            <w:rPr>
              <w:rStyle w:val="PageNumber"/>
              <w:sz w:val="16"/>
              <w:szCs w:val="16"/>
              <w:lang w:val="nl-NL"/>
            </w:rPr>
            <w:t xml:space="preserve">Code: </w:t>
          </w:r>
          <w:r w:rsidR="002D4DBC" w:rsidRPr="002D4DBC">
            <w:rPr>
              <w:rStyle w:val="PageNumber"/>
              <w:sz w:val="16"/>
              <w:szCs w:val="16"/>
              <w:lang w:val="nl-NL"/>
            </w:rPr>
            <w:t xml:space="preserve">UIT-CGN-PG </w:t>
          </w:r>
          <w:r w:rsidRPr="002D4DBC">
            <w:rPr>
              <w:rStyle w:val="PageNumber"/>
              <w:sz w:val="16"/>
              <w:szCs w:val="16"/>
              <w:lang w:val="nl-NL"/>
            </w:rPr>
            <w:t>6</w:t>
          </w:r>
          <w:r w:rsidR="002D4DBC" w:rsidRPr="002D4DBC">
            <w:rPr>
              <w:rStyle w:val="PageNumber"/>
              <w:sz w:val="16"/>
              <w:szCs w:val="16"/>
              <w:lang w:val="nl-NL"/>
            </w:rPr>
            <w:t>.</w:t>
          </w:r>
          <w:r w:rsidRPr="002D4DBC">
            <w:rPr>
              <w:rStyle w:val="PageNumber"/>
              <w:sz w:val="16"/>
              <w:szCs w:val="16"/>
              <w:lang w:val="nl-NL"/>
            </w:rPr>
            <w:t>2</w:t>
          </w:r>
          <w:r w:rsidR="002D4DBC" w:rsidRPr="002D4DBC">
            <w:rPr>
              <w:rStyle w:val="PageNumber"/>
              <w:sz w:val="16"/>
              <w:szCs w:val="16"/>
              <w:lang w:val="nl-NL"/>
            </w:rPr>
            <w:t>.</w:t>
          </w:r>
          <w:r w:rsidRPr="002D4DBC">
            <w:rPr>
              <w:rStyle w:val="PageNumber"/>
              <w:sz w:val="16"/>
              <w:szCs w:val="16"/>
              <w:lang w:val="nl-NL"/>
            </w:rPr>
            <w:t>47</w:t>
          </w:r>
        </w:p>
        <w:p w14:paraId="53448026" w14:textId="77777777" w:rsidR="001D418A" w:rsidRDefault="007B1625">
          <w:pPr>
            <w:pStyle w:val="Header"/>
            <w:rPr>
              <w:rStyle w:val="PageNumber"/>
              <w:sz w:val="16"/>
              <w:lang w:val="nl-NL"/>
            </w:rPr>
          </w:pPr>
          <w:r w:rsidRPr="002D4DBC">
            <w:rPr>
              <w:rStyle w:val="PageNumber"/>
              <w:sz w:val="16"/>
              <w:szCs w:val="16"/>
              <w:lang w:val="nl-NL"/>
            </w:rPr>
            <w:t xml:space="preserve">Page: </w:t>
          </w:r>
          <w:r w:rsidRPr="002D4DBC">
            <w:rPr>
              <w:rStyle w:val="PageNumber"/>
              <w:sz w:val="16"/>
              <w:szCs w:val="16"/>
            </w:rPr>
            <w:fldChar w:fldCharType="begin"/>
          </w:r>
          <w:r w:rsidRPr="002D4DBC">
            <w:rPr>
              <w:rStyle w:val="PageNumber"/>
              <w:sz w:val="16"/>
              <w:szCs w:val="16"/>
              <w:lang w:val="nl-NL"/>
            </w:rPr>
            <w:instrText xml:space="preserve"> PAGE </w:instrText>
          </w:r>
          <w:r w:rsidRPr="002D4DBC">
            <w:rPr>
              <w:rStyle w:val="PageNumber"/>
              <w:sz w:val="16"/>
              <w:szCs w:val="16"/>
            </w:rPr>
            <w:fldChar w:fldCharType="separate"/>
          </w:r>
          <w:r w:rsidR="005E4070">
            <w:rPr>
              <w:rStyle w:val="PageNumber"/>
              <w:noProof/>
              <w:sz w:val="16"/>
              <w:szCs w:val="16"/>
              <w:lang w:val="nl-NL"/>
            </w:rPr>
            <w:t>1</w:t>
          </w:r>
          <w:r w:rsidRPr="002D4DBC">
            <w:rPr>
              <w:rStyle w:val="PageNumber"/>
              <w:sz w:val="16"/>
              <w:szCs w:val="16"/>
            </w:rPr>
            <w:fldChar w:fldCharType="end"/>
          </w:r>
          <w:r w:rsidRPr="002D4DBC">
            <w:rPr>
              <w:rStyle w:val="PageNumber"/>
              <w:sz w:val="16"/>
              <w:szCs w:val="16"/>
              <w:lang w:val="nl-NL"/>
            </w:rPr>
            <w:t xml:space="preserve"> from </w:t>
          </w:r>
          <w:r w:rsidRPr="002D4DBC">
            <w:rPr>
              <w:rStyle w:val="PageNumber"/>
              <w:sz w:val="16"/>
              <w:szCs w:val="16"/>
            </w:rPr>
            <w:fldChar w:fldCharType="begin"/>
          </w:r>
          <w:r w:rsidRPr="002D4DBC">
            <w:rPr>
              <w:rStyle w:val="PageNumber"/>
              <w:sz w:val="16"/>
              <w:szCs w:val="16"/>
              <w:lang w:val="nl-NL"/>
            </w:rPr>
            <w:instrText xml:space="preserve"> NUMPAGES </w:instrText>
          </w:r>
          <w:r w:rsidRPr="002D4DBC">
            <w:rPr>
              <w:rStyle w:val="PageNumber"/>
              <w:sz w:val="16"/>
              <w:szCs w:val="16"/>
            </w:rPr>
            <w:fldChar w:fldCharType="separate"/>
          </w:r>
          <w:r w:rsidR="005E4070">
            <w:rPr>
              <w:rStyle w:val="PageNumber"/>
              <w:noProof/>
              <w:sz w:val="16"/>
              <w:szCs w:val="16"/>
              <w:lang w:val="nl-NL"/>
            </w:rPr>
            <w:t>3</w:t>
          </w:r>
          <w:r w:rsidRPr="002D4DBC">
            <w:rPr>
              <w:rStyle w:val="PageNumber"/>
              <w:sz w:val="16"/>
              <w:szCs w:val="16"/>
            </w:rPr>
            <w:fldChar w:fldCharType="end"/>
          </w:r>
        </w:p>
      </w:tc>
    </w:tr>
  </w:tbl>
  <w:p w14:paraId="254DE4CC" w14:textId="77777777" w:rsidR="00856232" w:rsidRDefault="00856232" w:rsidP="00184955">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1408C"/>
    <w:multiLevelType w:val="hybridMultilevel"/>
    <w:tmpl w:val="BDC83A26"/>
    <w:lvl w:ilvl="0" w:tplc="3CB08316">
      <w:start w:val="7"/>
      <w:numFmt w:val="decimal"/>
      <w:lvlText w:val="%1."/>
      <w:lvlJc w:val="left"/>
      <w:pPr>
        <w:tabs>
          <w:tab w:val="num" w:pos="720"/>
        </w:tabs>
        <w:ind w:left="720" w:hanging="360"/>
      </w:pPr>
      <w:rPr>
        <w:rFonts w:hint="default"/>
      </w:rPr>
    </w:lvl>
    <w:lvl w:ilvl="1" w:tplc="458800F6" w:tentative="1">
      <w:start w:val="1"/>
      <w:numFmt w:val="lowerLetter"/>
      <w:lvlText w:val="%2."/>
      <w:lvlJc w:val="left"/>
      <w:pPr>
        <w:tabs>
          <w:tab w:val="num" w:pos="1440"/>
        </w:tabs>
        <w:ind w:left="1440" w:hanging="360"/>
      </w:pPr>
    </w:lvl>
    <w:lvl w:ilvl="2" w:tplc="2976FBC2" w:tentative="1">
      <w:start w:val="1"/>
      <w:numFmt w:val="lowerRoman"/>
      <w:lvlText w:val="%3."/>
      <w:lvlJc w:val="right"/>
      <w:pPr>
        <w:tabs>
          <w:tab w:val="num" w:pos="2160"/>
        </w:tabs>
        <w:ind w:left="2160" w:hanging="180"/>
      </w:pPr>
    </w:lvl>
    <w:lvl w:ilvl="3" w:tplc="F94A593E" w:tentative="1">
      <w:start w:val="1"/>
      <w:numFmt w:val="decimal"/>
      <w:lvlText w:val="%4."/>
      <w:lvlJc w:val="left"/>
      <w:pPr>
        <w:tabs>
          <w:tab w:val="num" w:pos="2880"/>
        </w:tabs>
        <w:ind w:left="2880" w:hanging="360"/>
      </w:pPr>
    </w:lvl>
    <w:lvl w:ilvl="4" w:tplc="F7F62280" w:tentative="1">
      <w:start w:val="1"/>
      <w:numFmt w:val="lowerLetter"/>
      <w:lvlText w:val="%5."/>
      <w:lvlJc w:val="left"/>
      <w:pPr>
        <w:tabs>
          <w:tab w:val="num" w:pos="3600"/>
        </w:tabs>
        <w:ind w:left="3600" w:hanging="360"/>
      </w:pPr>
    </w:lvl>
    <w:lvl w:ilvl="5" w:tplc="F6108E52" w:tentative="1">
      <w:start w:val="1"/>
      <w:numFmt w:val="lowerRoman"/>
      <w:lvlText w:val="%6."/>
      <w:lvlJc w:val="right"/>
      <w:pPr>
        <w:tabs>
          <w:tab w:val="num" w:pos="4320"/>
        </w:tabs>
        <w:ind w:left="4320" w:hanging="180"/>
      </w:pPr>
    </w:lvl>
    <w:lvl w:ilvl="6" w:tplc="5D82D038" w:tentative="1">
      <w:start w:val="1"/>
      <w:numFmt w:val="decimal"/>
      <w:lvlText w:val="%7."/>
      <w:lvlJc w:val="left"/>
      <w:pPr>
        <w:tabs>
          <w:tab w:val="num" w:pos="5040"/>
        </w:tabs>
        <w:ind w:left="5040" w:hanging="360"/>
      </w:pPr>
    </w:lvl>
    <w:lvl w:ilvl="7" w:tplc="AF48D8D8" w:tentative="1">
      <w:start w:val="1"/>
      <w:numFmt w:val="lowerLetter"/>
      <w:lvlText w:val="%8."/>
      <w:lvlJc w:val="left"/>
      <w:pPr>
        <w:tabs>
          <w:tab w:val="num" w:pos="5760"/>
        </w:tabs>
        <w:ind w:left="5760" w:hanging="360"/>
      </w:pPr>
    </w:lvl>
    <w:lvl w:ilvl="8" w:tplc="5560D2F0" w:tentative="1">
      <w:start w:val="1"/>
      <w:numFmt w:val="lowerRoman"/>
      <w:lvlText w:val="%9."/>
      <w:lvlJc w:val="right"/>
      <w:pPr>
        <w:tabs>
          <w:tab w:val="num" w:pos="6480"/>
        </w:tabs>
        <w:ind w:left="6480" w:hanging="180"/>
      </w:pPr>
    </w:lvl>
  </w:abstractNum>
  <w:abstractNum w:abstractNumId="1" w15:restartNumberingAfterBreak="0">
    <w:nsid w:val="0E8F336B"/>
    <w:multiLevelType w:val="hybridMultilevel"/>
    <w:tmpl w:val="67385EDC"/>
    <w:lvl w:ilvl="0" w:tplc="FBF0B33C">
      <w:start w:val="1"/>
      <w:numFmt w:val="decimal"/>
      <w:lvlText w:val="%1)"/>
      <w:lvlJc w:val="left"/>
      <w:pPr>
        <w:tabs>
          <w:tab w:val="num" w:pos="567"/>
        </w:tabs>
        <w:ind w:left="567" w:hanging="567"/>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C20887"/>
    <w:multiLevelType w:val="hybridMultilevel"/>
    <w:tmpl w:val="28E09732"/>
    <w:lvl w:ilvl="0" w:tplc="94A27464">
      <w:start w:val="1"/>
      <w:numFmt w:val="decimal"/>
      <w:lvlText w:val="%1."/>
      <w:lvlJc w:val="left"/>
      <w:pPr>
        <w:tabs>
          <w:tab w:val="num" w:pos="3916"/>
        </w:tabs>
        <w:ind w:left="3916" w:hanging="720"/>
      </w:pPr>
      <w:rPr>
        <w:rFonts w:hint="default"/>
      </w:rPr>
    </w:lvl>
    <w:lvl w:ilvl="1" w:tplc="B8CE3F26">
      <w:start w:val="1"/>
      <w:numFmt w:val="lowerLetter"/>
      <w:lvlText w:val="%2."/>
      <w:lvlJc w:val="left"/>
      <w:pPr>
        <w:tabs>
          <w:tab w:val="num" w:pos="4276"/>
        </w:tabs>
        <w:ind w:left="4276" w:hanging="360"/>
      </w:pPr>
    </w:lvl>
    <w:lvl w:ilvl="2" w:tplc="06C65C28" w:tentative="1">
      <w:start w:val="1"/>
      <w:numFmt w:val="lowerRoman"/>
      <w:lvlText w:val="%3."/>
      <w:lvlJc w:val="right"/>
      <w:pPr>
        <w:tabs>
          <w:tab w:val="num" w:pos="4996"/>
        </w:tabs>
        <w:ind w:left="4996" w:hanging="180"/>
      </w:pPr>
    </w:lvl>
    <w:lvl w:ilvl="3" w:tplc="F4E0F14A" w:tentative="1">
      <w:start w:val="1"/>
      <w:numFmt w:val="decimal"/>
      <w:lvlText w:val="%4."/>
      <w:lvlJc w:val="left"/>
      <w:pPr>
        <w:tabs>
          <w:tab w:val="num" w:pos="5716"/>
        </w:tabs>
        <w:ind w:left="5716" w:hanging="360"/>
      </w:pPr>
    </w:lvl>
    <w:lvl w:ilvl="4" w:tplc="48D81480" w:tentative="1">
      <w:start w:val="1"/>
      <w:numFmt w:val="lowerLetter"/>
      <w:lvlText w:val="%5."/>
      <w:lvlJc w:val="left"/>
      <w:pPr>
        <w:tabs>
          <w:tab w:val="num" w:pos="6436"/>
        </w:tabs>
        <w:ind w:left="6436" w:hanging="360"/>
      </w:pPr>
    </w:lvl>
    <w:lvl w:ilvl="5" w:tplc="E304CA9C" w:tentative="1">
      <w:start w:val="1"/>
      <w:numFmt w:val="lowerRoman"/>
      <w:lvlText w:val="%6."/>
      <w:lvlJc w:val="right"/>
      <w:pPr>
        <w:tabs>
          <w:tab w:val="num" w:pos="7156"/>
        </w:tabs>
        <w:ind w:left="7156" w:hanging="180"/>
      </w:pPr>
    </w:lvl>
    <w:lvl w:ilvl="6" w:tplc="6BDC4882" w:tentative="1">
      <w:start w:val="1"/>
      <w:numFmt w:val="decimal"/>
      <w:lvlText w:val="%7."/>
      <w:lvlJc w:val="left"/>
      <w:pPr>
        <w:tabs>
          <w:tab w:val="num" w:pos="7876"/>
        </w:tabs>
        <w:ind w:left="7876" w:hanging="360"/>
      </w:pPr>
    </w:lvl>
    <w:lvl w:ilvl="7" w:tplc="F710D0EE" w:tentative="1">
      <w:start w:val="1"/>
      <w:numFmt w:val="lowerLetter"/>
      <w:lvlText w:val="%8."/>
      <w:lvlJc w:val="left"/>
      <w:pPr>
        <w:tabs>
          <w:tab w:val="num" w:pos="8596"/>
        </w:tabs>
        <w:ind w:left="8596" w:hanging="360"/>
      </w:pPr>
    </w:lvl>
    <w:lvl w:ilvl="8" w:tplc="CEE81EAE" w:tentative="1">
      <w:start w:val="1"/>
      <w:numFmt w:val="lowerRoman"/>
      <w:lvlText w:val="%9."/>
      <w:lvlJc w:val="right"/>
      <w:pPr>
        <w:tabs>
          <w:tab w:val="num" w:pos="9316"/>
        </w:tabs>
        <w:ind w:left="9316" w:hanging="180"/>
      </w:pPr>
    </w:lvl>
  </w:abstractNum>
  <w:abstractNum w:abstractNumId="3" w15:restartNumberingAfterBreak="0">
    <w:nsid w:val="43195532"/>
    <w:multiLevelType w:val="hybridMultilevel"/>
    <w:tmpl w:val="289EBC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E32119"/>
    <w:multiLevelType w:val="hybridMultilevel"/>
    <w:tmpl w:val="3B28E2A0"/>
    <w:lvl w:ilvl="0" w:tplc="BCB4C7FE">
      <w:start w:val="7"/>
      <w:numFmt w:val="decimal"/>
      <w:lvlText w:val="%1."/>
      <w:lvlJc w:val="left"/>
      <w:pPr>
        <w:tabs>
          <w:tab w:val="num" w:pos="-207"/>
        </w:tabs>
        <w:ind w:left="-207" w:hanging="360"/>
      </w:pPr>
      <w:rPr>
        <w:rFonts w:hint="default"/>
      </w:rPr>
    </w:lvl>
    <w:lvl w:ilvl="1" w:tplc="E020AFFC" w:tentative="1">
      <w:start w:val="1"/>
      <w:numFmt w:val="lowerLetter"/>
      <w:lvlText w:val="%2."/>
      <w:lvlJc w:val="left"/>
      <w:pPr>
        <w:tabs>
          <w:tab w:val="num" w:pos="513"/>
        </w:tabs>
        <w:ind w:left="513" w:hanging="360"/>
      </w:pPr>
    </w:lvl>
    <w:lvl w:ilvl="2" w:tplc="DEB2F018" w:tentative="1">
      <w:start w:val="1"/>
      <w:numFmt w:val="lowerRoman"/>
      <w:lvlText w:val="%3."/>
      <w:lvlJc w:val="right"/>
      <w:pPr>
        <w:tabs>
          <w:tab w:val="num" w:pos="1233"/>
        </w:tabs>
        <w:ind w:left="1233" w:hanging="180"/>
      </w:pPr>
    </w:lvl>
    <w:lvl w:ilvl="3" w:tplc="8F786F18" w:tentative="1">
      <w:start w:val="1"/>
      <w:numFmt w:val="decimal"/>
      <w:lvlText w:val="%4."/>
      <w:lvlJc w:val="left"/>
      <w:pPr>
        <w:tabs>
          <w:tab w:val="num" w:pos="1953"/>
        </w:tabs>
        <w:ind w:left="1953" w:hanging="360"/>
      </w:pPr>
    </w:lvl>
    <w:lvl w:ilvl="4" w:tplc="65CEFA1A" w:tentative="1">
      <w:start w:val="1"/>
      <w:numFmt w:val="lowerLetter"/>
      <w:lvlText w:val="%5."/>
      <w:lvlJc w:val="left"/>
      <w:pPr>
        <w:tabs>
          <w:tab w:val="num" w:pos="2673"/>
        </w:tabs>
        <w:ind w:left="2673" w:hanging="360"/>
      </w:pPr>
    </w:lvl>
    <w:lvl w:ilvl="5" w:tplc="7032C08E" w:tentative="1">
      <w:start w:val="1"/>
      <w:numFmt w:val="lowerRoman"/>
      <w:lvlText w:val="%6."/>
      <w:lvlJc w:val="right"/>
      <w:pPr>
        <w:tabs>
          <w:tab w:val="num" w:pos="3393"/>
        </w:tabs>
        <w:ind w:left="3393" w:hanging="180"/>
      </w:pPr>
    </w:lvl>
    <w:lvl w:ilvl="6" w:tplc="A4A49FF8" w:tentative="1">
      <w:start w:val="1"/>
      <w:numFmt w:val="decimal"/>
      <w:lvlText w:val="%7."/>
      <w:lvlJc w:val="left"/>
      <w:pPr>
        <w:tabs>
          <w:tab w:val="num" w:pos="4113"/>
        </w:tabs>
        <w:ind w:left="4113" w:hanging="360"/>
      </w:pPr>
    </w:lvl>
    <w:lvl w:ilvl="7" w:tplc="8940CBA2" w:tentative="1">
      <w:start w:val="1"/>
      <w:numFmt w:val="lowerLetter"/>
      <w:lvlText w:val="%8."/>
      <w:lvlJc w:val="left"/>
      <w:pPr>
        <w:tabs>
          <w:tab w:val="num" w:pos="4833"/>
        </w:tabs>
        <w:ind w:left="4833" w:hanging="360"/>
      </w:pPr>
    </w:lvl>
    <w:lvl w:ilvl="8" w:tplc="C3ECA8B4" w:tentative="1">
      <w:start w:val="1"/>
      <w:numFmt w:val="lowerRoman"/>
      <w:lvlText w:val="%9."/>
      <w:lvlJc w:val="right"/>
      <w:pPr>
        <w:tabs>
          <w:tab w:val="num" w:pos="5553"/>
        </w:tabs>
        <w:ind w:left="5553" w:hanging="180"/>
      </w:pPr>
    </w:lvl>
  </w:abstractNum>
  <w:abstractNum w:abstractNumId="5" w15:restartNumberingAfterBreak="0">
    <w:nsid w:val="68641816"/>
    <w:multiLevelType w:val="multilevel"/>
    <w:tmpl w:val="68C85C94"/>
    <w:lvl w:ilvl="0">
      <w:start w:val="5"/>
      <w:numFmt w:val="decimal"/>
      <w:lvlText w:val="%1."/>
      <w:legacy w:legacy="1" w:legacySpace="12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202985284">
    <w:abstractNumId w:val="5"/>
  </w:num>
  <w:num w:numId="2" w16cid:durableId="1212227632">
    <w:abstractNumId w:val="0"/>
  </w:num>
  <w:num w:numId="3" w16cid:durableId="1450196446">
    <w:abstractNumId w:val="2"/>
  </w:num>
  <w:num w:numId="4" w16cid:durableId="765030678">
    <w:abstractNumId w:val="4"/>
  </w:num>
  <w:num w:numId="5" w16cid:durableId="1225293713">
    <w:abstractNumId w:val="3"/>
  </w:num>
  <w:num w:numId="6" w16cid:durableId="792677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0E"/>
    <w:rsid w:val="000340CE"/>
    <w:rsid w:val="0006382A"/>
    <w:rsid w:val="0007224D"/>
    <w:rsid w:val="00087F02"/>
    <w:rsid w:val="000C10D8"/>
    <w:rsid w:val="000C2DE8"/>
    <w:rsid w:val="000D1345"/>
    <w:rsid w:val="00124361"/>
    <w:rsid w:val="0013173D"/>
    <w:rsid w:val="00176B9E"/>
    <w:rsid w:val="001845FA"/>
    <w:rsid w:val="00184955"/>
    <w:rsid w:val="001A1EC8"/>
    <w:rsid w:val="001A7181"/>
    <w:rsid w:val="001B788C"/>
    <w:rsid w:val="001D418A"/>
    <w:rsid w:val="001E3CEE"/>
    <w:rsid w:val="001E6FCC"/>
    <w:rsid w:val="001E7DA6"/>
    <w:rsid w:val="001F58D1"/>
    <w:rsid w:val="00203CC3"/>
    <w:rsid w:val="00210B85"/>
    <w:rsid w:val="00234208"/>
    <w:rsid w:val="002720B7"/>
    <w:rsid w:val="002744FA"/>
    <w:rsid w:val="00291DFB"/>
    <w:rsid w:val="0029248B"/>
    <w:rsid w:val="002D4DBC"/>
    <w:rsid w:val="002E31C1"/>
    <w:rsid w:val="002E4440"/>
    <w:rsid w:val="0031169E"/>
    <w:rsid w:val="0034239E"/>
    <w:rsid w:val="00345FCF"/>
    <w:rsid w:val="00364735"/>
    <w:rsid w:val="00372EF8"/>
    <w:rsid w:val="003B3D72"/>
    <w:rsid w:val="003C619F"/>
    <w:rsid w:val="004511B0"/>
    <w:rsid w:val="004822CF"/>
    <w:rsid w:val="004A705F"/>
    <w:rsid w:val="004D0FE5"/>
    <w:rsid w:val="004D4563"/>
    <w:rsid w:val="0054148F"/>
    <w:rsid w:val="00596652"/>
    <w:rsid w:val="00596A13"/>
    <w:rsid w:val="005C17AD"/>
    <w:rsid w:val="005E4070"/>
    <w:rsid w:val="005E7C75"/>
    <w:rsid w:val="00607615"/>
    <w:rsid w:val="00652325"/>
    <w:rsid w:val="00661475"/>
    <w:rsid w:val="00663058"/>
    <w:rsid w:val="00664253"/>
    <w:rsid w:val="00685D34"/>
    <w:rsid w:val="006865A3"/>
    <w:rsid w:val="006C6149"/>
    <w:rsid w:val="006E1658"/>
    <w:rsid w:val="006E1AFF"/>
    <w:rsid w:val="006E616E"/>
    <w:rsid w:val="007306F7"/>
    <w:rsid w:val="007468B5"/>
    <w:rsid w:val="00756CDD"/>
    <w:rsid w:val="007661FB"/>
    <w:rsid w:val="0077097C"/>
    <w:rsid w:val="007B1625"/>
    <w:rsid w:val="007B326B"/>
    <w:rsid w:val="007B4441"/>
    <w:rsid w:val="007E3FD6"/>
    <w:rsid w:val="00856232"/>
    <w:rsid w:val="0087286E"/>
    <w:rsid w:val="008D21EC"/>
    <w:rsid w:val="008D2ACA"/>
    <w:rsid w:val="009008AE"/>
    <w:rsid w:val="009041E3"/>
    <w:rsid w:val="00935447"/>
    <w:rsid w:val="009D7063"/>
    <w:rsid w:val="009E4BB6"/>
    <w:rsid w:val="009F1191"/>
    <w:rsid w:val="00A10F23"/>
    <w:rsid w:val="00A46C08"/>
    <w:rsid w:val="00A57875"/>
    <w:rsid w:val="00A713DC"/>
    <w:rsid w:val="00A91341"/>
    <w:rsid w:val="00A9705D"/>
    <w:rsid w:val="00A975D0"/>
    <w:rsid w:val="00AA4CCB"/>
    <w:rsid w:val="00AB6898"/>
    <w:rsid w:val="00AC1C93"/>
    <w:rsid w:val="00AD0902"/>
    <w:rsid w:val="00AD2F6F"/>
    <w:rsid w:val="00AF75F6"/>
    <w:rsid w:val="00B71A15"/>
    <w:rsid w:val="00B83B1F"/>
    <w:rsid w:val="00BC247B"/>
    <w:rsid w:val="00BD6279"/>
    <w:rsid w:val="00BE49BB"/>
    <w:rsid w:val="00C10F5D"/>
    <w:rsid w:val="00C2640E"/>
    <w:rsid w:val="00C27A1D"/>
    <w:rsid w:val="00C454EB"/>
    <w:rsid w:val="00C72CE9"/>
    <w:rsid w:val="00CA3C45"/>
    <w:rsid w:val="00CD6FAA"/>
    <w:rsid w:val="00D214B1"/>
    <w:rsid w:val="00D3673E"/>
    <w:rsid w:val="00D5567E"/>
    <w:rsid w:val="00D56FAE"/>
    <w:rsid w:val="00D77ACA"/>
    <w:rsid w:val="00D82948"/>
    <w:rsid w:val="00DA4852"/>
    <w:rsid w:val="00E17440"/>
    <w:rsid w:val="00E25B78"/>
    <w:rsid w:val="00E30E76"/>
    <w:rsid w:val="00E45390"/>
    <w:rsid w:val="00E76720"/>
    <w:rsid w:val="00EA320F"/>
    <w:rsid w:val="00EC138B"/>
    <w:rsid w:val="00EC1B7E"/>
    <w:rsid w:val="00EE479E"/>
    <w:rsid w:val="00F2299C"/>
    <w:rsid w:val="00F41C33"/>
    <w:rsid w:val="00F53B8B"/>
    <w:rsid w:val="00F62321"/>
    <w:rsid w:val="00F82A0C"/>
    <w:rsid w:val="00F94786"/>
    <w:rsid w:val="00FA6696"/>
    <w:rsid w:val="00FC5CC3"/>
    <w:rsid w:val="00FC6EED"/>
    <w:rsid w:val="00FE2964"/>
    <w:rsid w:val="00FF55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AE321A"/>
  <w15:docId w15:val="{C3D66B70-02AF-4D89-9804-C99BA686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jc w:val="center"/>
      <w:outlineLvl w:val="4"/>
    </w:pPr>
    <w:rPr>
      <w:rFonts w:ascii="Arial" w:hAnsi="Arial" w:cs="Arial"/>
      <w:b/>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sz w:val="22"/>
    </w:rPr>
  </w:style>
  <w:style w:type="paragraph" w:styleId="BodyText2">
    <w:name w:val="Body Text 2"/>
    <w:basedOn w:val="Normal"/>
    <w:rPr>
      <w:rFonts w:ascii="Arial" w:hAnsi="Arial"/>
      <w:sz w:val="18"/>
      <w:lang w:val="nl-NL"/>
    </w:rPr>
  </w:style>
  <w:style w:type="paragraph" w:styleId="BodyTextIndent">
    <w:name w:val="Body Text Indent"/>
    <w:basedOn w:val="Normal"/>
    <w:pPr>
      <w:ind w:left="709"/>
    </w:pPr>
    <w:rPr>
      <w:rFonts w:ascii="Arial" w:hAnsi="Arial"/>
      <w:sz w:val="22"/>
      <w:lang w:val="nl-NL"/>
    </w:rPr>
  </w:style>
  <w:style w:type="paragraph" w:styleId="BodyTextIndent2">
    <w:name w:val="Body Text Indent 2"/>
    <w:basedOn w:val="Normal"/>
    <w:pPr>
      <w:ind w:hanging="567"/>
    </w:pPr>
    <w:rPr>
      <w:sz w:val="22"/>
      <w:lang w:val="nl-NL"/>
    </w:rPr>
  </w:style>
  <w:style w:type="paragraph" w:styleId="Caption">
    <w:name w:val="caption"/>
    <w:basedOn w:val="Normal"/>
    <w:next w:val="Normal"/>
    <w:qFormat/>
    <w:rPr>
      <w:b/>
      <w:sz w:val="22"/>
      <w:lang w:val="nl-NL"/>
    </w:rPr>
  </w:style>
  <w:style w:type="paragraph" w:styleId="BodyText3">
    <w:name w:val="Body Text 3"/>
    <w:basedOn w:val="Normal"/>
    <w:pPr>
      <w:jc w:val="center"/>
    </w:pPr>
    <w:rPr>
      <w:b/>
      <w:lang w:val="nl-NL"/>
    </w:rPr>
  </w:style>
  <w:style w:type="paragraph" w:styleId="BalloonText">
    <w:name w:val="Balloon Text"/>
    <w:basedOn w:val="Normal"/>
    <w:link w:val="BalloonTextChar"/>
    <w:rsid w:val="00A46C08"/>
    <w:rPr>
      <w:rFonts w:ascii="Tahoma" w:hAnsi="Tahoma" w:cs="Tahoma"/>
      <w:sz w:val="16"/>
      <w:szCs w:val="16"/>
    </w:rPr>
  </w:style>
  <w:style w:type="character" w:customStyle="1" w:styleId="BalloonTextChar">
    <w:name w:val="Balloon Text Char"/>
    <w:link w:val="BalloonText"/>
    <w:rsid w:val="00A46C08"/>
    <w:rPr>
      <w:rFonts w:ascii="Tahoma" w:hAnsi="Tahoma" w:cs="Tahoma"/>
      <w:sz w:val="16"/>
      <w:szCs w:val="16"/>
      <w:lang w:eastAsia="nl-NL"/>
    </w:rPr>
  </w:style>
  <w:style w:type="paragraph" w:styleId="Revision">
    <w:name w:val="Revision"/>
    <w:hidden/>
    <w:uiPriority w:val="99"/>
    <w:semiHidden/>
    <w:rsid w:val="004822CF"/>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79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an%20Ravestijn\Local%20Settings\Temporary%20Internet%20Files\Content.IE5\XJ3R1HWE\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EF6C72-D01A-432D-A005-86816CFD98CC}"/>
</file>

<file path=customXml/itemProps2.xml><?xml version="1.0" encoding="utf-8"?>
<ds:datastoreItem xmlns:ds="http://schemas.openxmlformats.org/officeDocument/2006/customXml" ds:itemID="{EC9AEC1D-E47A-4098-97C8-454004080BFD}"/>
</file>

<file path=docProps/app.xml><?xml version="1.0" encoding="utf-8"?>
<Properties xmlns="http://schemas.openxmlformats.org/officeDocument/2006/extended-properties" xmlns:vt="http://schemas.openxmlformats.org/officeDocument/2006/docPropsVTypes">
  <Template>template.dot</Template>
  <TotalTime>9</TotalTime>
  <Pages>3</Pages>
  <Words>726</Words>
  <Characters>3807</Characters>
  <Application>Microsoft Office Word</Application>
  <DocSecurity>0</DocSecurity>
  <Lines>31</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CPRO-DLO</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van Ravestijn</dc:creator>
  <cp:keywords>, docId:75DF739740B26094F0A9D4B45A9B655F</cp:keywords>
  <cp:lastModifiedBy>Hintum, Theo van</cp:lastModifiedBy>
  <cp:revision>14</cp:revision>
  <cp:lastPrinted>2007-06-18T05:53:00Z</cp:lastPrinted>
  <dcterms:created xsi:type="dcterms:W3CDTF">2024-05-03T09:38:00Z</dcterms:created>
  <dcterms:modified xsi:type="dcterms:W3CDTF">2024-05-03T10:57:00Z</dcterms:modified>
</cp:coreProperties>
</file>