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3DC8" w14:textId="77777777" w:rsidR="00B827A8" w:rsidRDefault="00B827A8">
      <w:pPr>
        <w:rPr>
          <w:rFonts w:ascii="News Gothic" w:hAnsi="News Gothic"/>
          <w:b/>
          <w:lang w:val="en-GB"/>
        </w:rPr>
      </w:pPr>
      <w:r>
        <w:rPr>
          <w:rFonts w:ascii="News Gothic" w:hAnsi="News Gothic"/>
          <w:b/>
          <w:lang w:val="en-GB"/>
        </w:rPr>
        <w:t>FOR-CGN-PG-006</w:t>
      </w:r>
    </w:p>
    <w:p w14:paraId="72A3F9EB" w14:textId="77777777" w:rsidR="00B827A8" w:rsidRDefault="00B827A8">
      <w:pPr>
        <w:jc w:val="center"/>
        <w:rPr>
          <w:sz w:val="22"/>
          <w:lang w:val="en-GB"/>
        </w:rPr>
      </w:pPr>
      <w:r>
        <w:rPr>
          <w:sz w:val="22"/>
          <w:lang w:val="en-GB"/>
        </w:rPr>
        <w:t>MEMORANDUM OF UNDERSTANDING</w:t>
      </w:r>
    </w:p>
    <w:p w14:paraId="17B7AB87" w14:textId="77777777" w:rsidR="00B827A8" w:rsidRDefault="00B827A8">
      <w:pPr>
        <w:rPr>
          <w:sz w:val="22"/>
          <w:lang w:val="en-GB"/>
        </w:rPr>
      </w:pPr>
    </w:p>
    <w:p w14:paraId="7C3C16F5" w14:textId="77777777" w:rsidR="00B827A8" w:rsidRDefault="00B827A8">
      <w:pPr>
        <w:rPr>
          <w:sz w:val="22"/>
          <w:lang w:val="en-GB"/>
        </w:rPr>
      </w:pPr>
    </w:p>
    <w:p w14:paraId="2849A8B2" w14:textId="77777777" w:rsidR="00B827A8" w:rsidRDefault="00B827A8">
      <w:pPr>
        <w:rPr>
          <w:sz w:val="22"/>
          <w:lang w:val="en-GB"/>
        </w:rPr>
      </w:pPr>
      <w:r>
        <w:rPr>
          <w:sz w:val="22"/>
          <w:lang w:val="en-GB"/>
        </w:rPr>
        <w:t xml:space="preserve">This Memorandum of Understanding (MOU) is entered into and executed by the </w:t>
      </w:r>
      <w:r>
        <w:rPr>
          <w:b/>
          <w:sz w:val="22"/>
          <w:lang w:val="en-GB"/>
        </w:rPr>
        <w:t xml:space="preserve">Centre for Genetic Resources, the </w:t>
      </w:r>
      <w:smartTag w:uri="urn:schemas-microsoft-com:office:smarttags" w:element="country-region">
        <w:smartTag w:uri="urn:schemas-microsoft-com:office:smarttags" w:element="place">
          <w:r>
            <w:rPr>
              <w:b/>
              <w:sz w:val="22"/>
              <w:lang w:val="en-GB"/>
            </w:rPr>
            <w:t>Netherlands</w:t>
          </w:r>
        </w:smartTag>
      </w:smartTag>
      <w:r>
        <w:rPr>
          <w:sz w:val="22"/>
          <w:lang w:val="en-GB"/>
        </w:rPr>
        <w:t xml:space="preserve"> (hereinafter referred to as </w:t>
      </w:r>
      <w:r>
        <w:rPr>
          <w:b/>
          <w:sz w:val="22"/>
          <w:lang w:val="en-GB"/>
        </w:rPr>
        <w:t>CGN</w:t>
      </w:r>
      <w:r>
        <w:rPr>
          <w:sz w:val="22"/>
          <w:lang w:val="en-GB"/>
        </w:rPr>
        <w:t>) and the..... (</w:t>
      </w:r>
      <w:r>
        <w:rPr>
          <w:i/>
          <w:sz w:val="22"/>
          <w:lang w:val="en-GB"/>
        </w:rPr>
        <w:t>name Institution</w:t>
      </w:r>
      <w:r>
        <w:rPr>
          <w:sz w:val="22"/>
          <w:lang w:val="en-GB"/>
        </w:rPr>
        <w:t xml:space="preserve">)(hereinafter referred to as </w:t>
      </w:r>
      <w:r>
        <w:rPr>
          <w:b/>
          <w:sz w:val="22"/>
          <w:lang w:val="en-GB"/>
        </w:rPr>
        <w:t>....(</w:t>
      </w:r>
      <w:r>
        <w:rPr>
          <w:b/>
          <w:i/>
          <w:sz w:val="22"/>
          <w:lang w:val="en-GB"/>
        </w:rPr>
        <w:t>abr. Inst</w:t>
      </w:r>
      <w:r>
        <w:rPr>
          <w:b/>
          <w:sz w:val="22"/>
          <w:lang w:val="en-GB"/>
        </w:rPr>
        <w:t>)</w:t>
      </w:r>
      <w:r>
        <w:rPr>
          <w:sz w:val="22"/>
          <w:lang w:val="en-GB"/>
        </w:rPr>
        <w:t>).</w:t>
      </w:r>
    </w:p>
    <w:p w14:paraId="2CD97986" w14:textId="77777777" w:rsidR="00B827A8" w:rsidRDefault="00B827A8">
      <w:pPr>
        <w:jc w:val="both"/>
        <w:rPr>
          <w:sz w:val="22"/>
          <w:lang w:val="en-GB"/>
        </w:rPr>
      </w:pPr>
    </w:p>
    <w:p w14:paraId="2E17E0BF" w14:textId="77777777" w:rsidR="00B827A8" w:rsidRDefault="00B827A8">
      <w:pPr>
        <w:jc w:val="both"/>
        <w:rPr>
          <w:sz w:val="22"/>
          <w:lang w:val="en-GB"/>
        </w:rPr>
      </w:pPr>
      <w:r>
        <w:rPr>
          <w:b/>
          <w:sz w:val="22"/>
          <w:lang w:val="en-GB"/>
        </w:rPr>
        <w:t>I. Purpose</w:t>
      </w:r>
    </w:p>
    <w:p w14:paraId="6515DBC5" w14:textId="77777777" w:rsidR="00B827A8" w:rsidRDefault="00B827A8">
      <w:pPr>
        <w:jc w:val="both"/>
        <w:rPr>
          <w:sz w:val="22"/>
          <w:lang w:val="en-GB"/>
        </w:rPr>
      </w:pPr>
    </w:p>
    <w:p w14:paraId="129D1359" w14:textId="106FD3C4" w:rsidR="00B827A8" w:rsidRDefault="00B827A8">
      <w:pPr>
        <w:jc w:val="both"/>
        <w:rPr>
          <w:sz w:val="22"/>
          <w:lang w:val="en-GB"/>
        </w:rPr>
      </w:pPr>
      <w:r>
        <w:rPr>
          <w:sz w:val="22"/>
          <w:lang w:val="en-GB"/>
        </w:rPr>
        <w:t>The purpose of this MOU is to maintain, within the framework of the ”Genetic resources Programme”...... (</w:t>
      </w:r>
      <w:r>
        <w:rPr>
          <w:i/>
          <w:sz w:val="22"/>
          <w:lang w:val="en-GB"/>
        </w:rPr>
        <w:t>programme or cooperation</w:t>
      </w:r>
      <w:r>
        <w:rPr>
          <w:sz w:val="22"/>
          <w:lang w:val="en-GB"/>
        </w:rPr>
        <w:t xml:space="preserve">), a Safety Duplicate Collection (hereinafter referred to as </w:t>
      </w:r>
      <w:r>
        <w:rPr>
          <w:b/>
          <w:sz w:val="22"/>
          <w:lang w:val="en-GB"/>
        </w:rPr>
        <w:t>SDC</w:t>
      </w:r>
      <w:r>
        <w:rPr>
          <w:sz w:val="22"/>
          <w:lang w:val="en-GB"/>
        </w:rPr>
        <w:t>) of seed material</w:t>
      </w:r>
      <w:r>
        <w:rPr>
          <w:color w:val="FF0000"/>
          <w:sz w:val="22"/>
          <w:lang w:val="en-GB"/>
        </w:rPr>
        <w:t xml:space="preserve"> </w:t>
      </w:r>
      <w:r>
        <w:rPr>
          <w:sz w:val="22"/>
          <w:lang w:val="en-GB"/>
        </w:rPr>
        <w:t xml:space="preserve">of agricultural and horticultural crops in the base collection of the </w:t>
      </w:r>
      <w:r>
        <w:rPr>
          <w:b/>
          <w:sz w:val="22"/>
          <w:lang w:val="en-GB"/>
        </w:rPr>
        <w:t>....(</w:t>
      </w:r>
      <w:r>
        <w:rPr>
          <w:b/>
          <w:i/>
          <w:sz w:val="22"/>
          <w:lang w:val="en-GB"/>
        </w:rPr>
        <w:t>abr. Inst</w:t>
      </w:r>
      <w:r>
        <w:rPr>
          <w:b/>
          <w:sz w:val="22"/>
          <w:lang w:val="en-GB"/>
        </w:rPr>
        <w:t>)</w:t>
      </w:r>
      <w:r>
        <w:rPr>
          <w:sz w:val="22"/>
          <w:lang w:val="en-GB"/>
        </w:rPr>
        <w:t>.</w:t>
      </w:r>
    </w:p>
    <w:p w14:paraId="2EFBFDB2" w14:textId="77777777" w:rsidR="00B827A8" w:rsidRDefault="00B827A8">
      <w:pPr>
        <w:jc w:val="both"/>
        <w:rPr>
          <w:sz w:val="22"/>
          <w:lang w:val="en-GB"/>
        </w:rPr>
      </w:pPr>
    </w:p>
    <w:p w14:paraId="144070A1" w14:textId="77777777" w:rsidR="00B827A8" w:rsidRDefault="00B827A8">
      <w:pPr>
        <w:jc w:val="both"/>
        <w:rPr>
          <w:b/>
          <w:sz w:val="22"/>
          <w:lang w:val="en-GB"/>
        </w:rPr>
      </w:pPr>
      <w:r>
        <w:rPr>
          <w:b/>
          <w:sz w:val="22"/>
          <w:lang w:val="en-GB"/>
        </w:rPr>
        <w:t>II. Statement of common interest</w:t>
      </w:r>
    </w:p>
    <w:p w14:paraId="072D9799" w14:textId="77777777" w:rsidR="00B827A8" w:rsidRDefault="00B827A8">
      <w:pPr>
        <w:jc w:val="both"/>
        <w:rPr>
          <w:sz w:val="22"/>
          <w:lang w:val="en-GB"/>
        </w:rPr>
      </w:pPr>
    </w:p>
    <w:p w14:paraId="7B1D8A84" w14:textId="77777777" w:rsidR="00B827A8" w:rsidRDefault="00B827A8">
      <w:pPr>
        <w:jc w:val="both"/>
        <w:rPr>
          <w:sz w:val="22"/>
          <w:lang w:val="en-GB"/>
        </w:rPr>
      </w:pPr>
      <w:r>
        <w:rPr>
          <w:sz w:val="22"/>
          <w:lang w:val="en-GB"/>
        </w:rPr>
        <w:t xml:space="preserve">CGN is part of </w:t>
      </w:r>
      <w:smartTag w:uri="urn:schemas-microsoft-com:office:smarttags" w:element="PlaceName">
        <w:r>
          <w:rPr>
            <w:sz w:val="22"/>
            <w:lang w:val="en-GB"/>
          </w:rPr>
          <w:t>Wageningen</w:t>
        </w:r>
      </w:smartTag>
      <w:r>
        <w:rPr>
          <w:sz w:val="22"/>
          <w:lang w:val="en-GB"/>
        </w:rPr>
        <w:t xml:space="preserve"> </w:t>
      </w:r>
      <w:smartTag w:uri="urn:schemas-microsoft-com:office:smarttags" w:element="PlaceType">
        <w:r>
          <w:rPr>
            <w:sz w:val="22"/>
            <w:lang w:val="en-GB"/>
          </w:rPr>
          <w:t>University</w:t>
        </w:r>
      </w:smartTag>
      <w:r>
        <w:rPr>
          <w:sz w:val="22"/>
          <w:lang w:val="en-GB"/>
        </w:rPr>
        <w:t xml:space="preserve"> and Research Centre and executes the major genetic resources programme of the </w:t>
      </w:r>
      <w:smartTag w:uri="urn:schemas-microsoft-com:office:smarttags" w:element="country-region">
        <w:smartTag w:uri="urn:schemas-microsoft-com:office:smarttags" w:element="place">
          <w:r>
            <w:rPr>
              <w:sz w:val="22"/>
              <w:lang w:val="en-GB"/>
            </w:rPr>
            <w:t>Netherlands</w:t>
          </w:r>
        </w:smartTag>
      </w:smartTag>
      <w:r>
        <w:rPr>
          <w:sz w:val="22"/>
          <w:lang w:val="en-GB"/>
        </w:rPr>
        <w:t xml:space="preserve"> under a mandate of the Netherlands Ministry of Agriculture, Nature Management and Fisheries. The genebank represents the Dutch contribution to the </w:t>
      </w:r>
      <w:r>
        <w:rPr>
          <w:i/>
          <w:sz w:val="22"/>
          <w:lang w:val="en-GB"/>
        </w:rPr>
        <w:t>ex situ</w:t>
      </w:r>
      <w:r>
        <w:rPr>
          <w:sz w:val="22"/>
          <w:lang w:val="en-GB"/>
        </w:rPr>
        <w:t xml:space="preserve"> conservation of crop genetic diversity.</w:t>
      </w:r>
    </w:p>
    <w:p w14:paraId="3757E429" w14:textId="77777777" w:rsidR="00B827A8" w:rsidRDefault="00B827A8">
      <w:pPr>
        <w:jc w:val="both"/>
        <w:rPr>
          <w:sz w:val="22"/>
          <w:lang w:val="en-GB"/>
        </w:rPr>
      </w:pPr>
    </w:p>
    <w:p w14:paraId="41D8DCA0" w14:textId="77777777" w:rsidR="00B827A8" w:rsidRDefault="00B827A8">
      <w:pPr>
        <w:jc w:val="both"/>
        <w:rPr>
          <w:sz w:val="22"/>
          <w:lang w:val="en-GB"/>
        </w:rPr>
      </w:pPr>
      <w:r>
        <w:rPr>
          <w:sz w:val="22"/>
          <w:lang w:val="en-GB"/>
        </w:rPr>
        <w:t>The ....(</w:t>
      </w:r>
      <w:proofErr w:type="spellStart"/>
      <w:r>
        <w:rPr>
          <w:b/>
          <w:i/>
          <w:sz w:val="22"/>
          <w:lang w:val="en-GB"/>
        </w:rPr>
        <w:t>abr</w:t>
      </w:r>
      <w:proofErr w:type="spellEnd"/>
      <w:r>
        <w:rPr>
          <w:b/>
          <w:i/>
          <w:sz w:val="22"/>
          <w:lang w:val="en-GB"/>
        </w:rPr>
        <w:t xml:space="preserve"> Inst</w:t>
      </w:r>
      <w:r>
        <w:rPr>
          <w:sz w:val="22"/>
          <w:lang w:val="en-GB"/>
        </w:rPr>
        <w:t xml:space="preserve">) is a national centre co-ordinating conservation of agricultural and horticultural crops (?) as well as managing active, short, medium and/or long-term (?) collections of seed material stored </w:t>
      </w:r>
      <w:r>
        <w:rPr>
          <w:i/>
          <w:sz w:val="22"/>
          <w:lang w:val="en-GB"/>
        </w:rPr>
        <w:t>ex situ.</w:t>
      </w:r>
    </w:p>
    <w:p w14:paraId="3794B6E6" w14:textId="77777777" w:rsidR="00B827A8" w:rsidRDefault="00B827A8">
      <w:pPr>
        <w:jc w:val="both"/>
        <w:rPr>
          <w:sz w:val="22"/>
          <w:lang w:val="en-GB"/>
        </w:rPr>
      </w:pPr>
    </w:p>
    <w:p w14:paraId="5F39680D" w14:textId="77777777" w:rsidR="00B827A8" w:rsidRDefault="00B827A8">
      <w:pPr>
        <w:jc w:val="both"/>
        <w:rPr>
          <w:b/>
          <w:sz w:val="22"/>
          <w:lang w:val="en-GB"/>
        </w:rPr>
      </w:pPr>
      <w:r>
        <w:rPr>
          <w:b/>
          <w:sz w:val="22"/>
          <w:lang w:val="en-GB"/>
        </w:rPr>
        <w:t>III. Statements of the agreement</w:t>
      </w:r>
    </w:p>
    <w:p w14:paraId="3859940A" w14:textId="77777777" w:rsidR="00B827A8" w:rsidRDefault="00B827A8">
      <w:pPr>
        <w:jc w:val="both"/>
        <w:rPr>
          <w:b/>
          <w:sz w:val="22"/>
          <w:lang w:val="en-GB"/>
        </w:rPr>
      </w:pPr>
    </w:p>
    <w:p w14:paraId="5F910AE3" w14:textId="77777777" w:rsidR="00B827A8" w:rsidRDefault="00B827A8">
      <w:pPr>
        <w:ind w:left="284" w:hanging="284"/>
        <w:jc w:val="both"/>
        <w:rPr>
          <w:b/>
          <w:sz w:val="22"/>
          <w:lang w:val="en-GB"/>
        </w:rPr>
      </w:pPr>
      <w:r>
        <w:rPr>
          <w:b/>
          <w:sz w:val="22"/>
          <w:lang w:val="en-GB"/>
        </w:rPr>
        <w:tab/>
        <w:t>i. Of relevance for CGN:</w:t>
      </w:r>
    </w:p>
    <w:p w14:paraId="5A5B9CB3" w14:textId="77777777" w:rsidR="00B827A8" w:rsidRDefault="00B827A8">
      <w:pPr>
        <w:jc w:val="both"/>
        <w:rPr>
          <w:sz w:val="22"/>
          <w:lang w:val="en-GB"/>
        </w:rPr>
      </w:pPr>
    </w:p>
    <w:p w14:paraId="079770FF" w14:textId="77777777" w:rsidR="00B827A8" w:rsidRDefault="00B827A8">
      <w:pPr>
        <w:ind w:left="851" w:hanging="567"/>
        <w:jc w:val="both"/>
        <w:rPr>
          <w:sz w:val="22"/>
          <w:lang w:val="en-GB"/>
        </w:rPr>
      </w:pPr>
      <w:r>
        <w:rPr>
          <w:sz w:val="22"/>
          <w:lang w:val="en-GB"/>
        </w:rPr>
        <w:t>§1</w:t>
      </w:r>
      <w:r>
        <w:rPr>
          <w:sz w:val="22"/>
          <w:lang w:val="en-GB"/>
        </w:rPr>
        <w:tab/>
        <w:t xml:space="preserve">CGN accepts the responsibility of conserving </w:t>
      </w:r>
      <w:r>
        <w:rPr>
          <w:i/>
          <w:sz w:val="22"/>
          <w:lang w:val="en-GB"/>
        </w:rPr>
        <w:t>ex situ</w:t>
      </w:r>
      <w:r>
        <w:rPr>
          <w:sz w:val="22"/>
          <w:lang w:val="en-GB"/>
        </w:rPr>
        <w:t xml:space="preserve"> under appropriate long-term conditions, under a ‘black box’ arrangement within the storage facilities at Wageningen, a SDC to be provided by the </w:t>
      </w:r>
      <w:r>
        <w:rPr>
          <w:b/>
          <w:sz w:val="22"/>
          <w:lang w:val="en-GB"/>
        </w:rPr>
        <w:t>....(</w:t>
      </w:r>
      <w:r>
        <w:rPr>
          <w:b/>
          <w:i/>
          <w:sz w:val="22"/>
          <w:lang w:val="en-GB"/>
        </w:rPr>
        <w:t>abr. Inst</w:t>
      </w:r>
      <w:r>
        <w:rPr>
          <w:sz w:val="22"/>
          <w:lang w:val="en-GB"/>
        </w:rPr>
        <w:t>).</w:t>
      </w:r>
    </w:p>
    <w:p w14:paraId="57D6A4AD" w14:textId="77777777" w:rsidR="00B827A8" w:rsidRDefault="00B827A8">
      <w:pPr>
        <w:ind w:left="851" w:hanging="567"/>
        <w:jc w:val="both"/>
        <w:rPr>
          <w:sz w:val="22"/>
          <w:lang w:val="en-GB"/>
        </w:rPr>
      </w:pPr>
    </w:p>
    <w:p w14:paraId="607869F8" w14:textId="77777777" w:rsidR="00B827A8" w:rsidRDefault="00B827A8">
      <w:pPr>
        <w:ind w:left="851" w:hanging="567"/>
        <w:jc w:val="both"/>
        <w:rPr>
          <w:sz w:val="22"/>
          <w:lang w:val="en-GB"/>
        </w:rPr>
      </w:pPr>
      <w:r>
        <w:rPr>
          <w:sz w:val="22"/>
          <w:lang w:val="en-GB"/>
        </w:rPr>
        <w:t>§2</w:t>
      </w:r>
      <w:r>
        <w:rPr>
          <w:sz w:val="22"/>
          <w:lang w:val="en-GB"/>
        </w:rPr>
        <w:tab/>
        <w:t>The SDC will be stored in accordance with the CGN guidelines for storage and handling.</w:t>
      </w:r>
    </w:p>
    <w:p w14:paraId="0686493B" w14:textId="77777777" w:rsidR="00B827A8" w:rsidRDefault="00B827A8">
      <w:pPr>
        <w:ind w:left="851" w:hanging="567"/>
        <w:jc w:val="both"/>
        <w:rPr>
          <w:sz w:val="22"/>
          <w:lang w:val="en-GB"/>
        </w:rPr>
      </w:pPr>
    </w:p>
    <w:p w14:paraId="68B412C1" w14:textId="77777777" w:rsidR="00B827A8" w:rsidRDefault="00B827A8">
      <w:pPr>
        <w:ind w:left="851" w:hanging="567"/>
        <w:jc w:val="both"/>
        <w:rPr>
          <w:sz w:val="22"/>
          <w:lang w:val="en-GB"/>
        </w:rPr>
      </w:pPr>
      <w:r>
        <w:rPr>
          <w:sz w:val="22"/>
          <w:lang w:val="en-GB"/>
        </w:rPr>
        <w:t>§3</w:t>
      </w:r>
      <w:r>
        <w:rPr>
          <w:sz w:val="22"/>
          <w:lang w:val="en-GB"/>
        </w:rPr>
        <w:tab/>
        <w:t>CGN will not use or distribute any seed material to a third party from the SDC, and only return it to the provider upon request.</w:t>
      </w:r>
    </w:p>
    <w:p w14:paraId="5F406A67" w14:textId="77777777" w:rsidR="00B827A8" w:rsidRDefault="00B827A8">
      <w:pPr>
        <w:ind w:left="851" w:hanging="567"/>
        <w:jc w:val="both"/>
        <w:rPr>
          <w:sz w:val="22"/>
          <w:lang w:val="en-GB"/>
        </w:rPr>
      </w:pPr>
    </w:p>
    <w:p w14:paraId="453EC7A9" w14:textId="77777777" w:rsidR="00B827A8" w:rsidRDefault="00B827A8">
      <w:pPr>
        <w:ind w:left="851" w:hanging="567"/>
        <w:jc w:val="both"/>
        <w:rPr>
          <w:sz w:val="22"/>
          <w:lang w:val="en-GB"/>
        </w:rPr>
      </w:pPr>
      <w:r>
        <w:rPr>
          <w:sz w:val="22"/>
          <w:lang w:val="en-GB"/>
        </w:rPr>
        <w:t>§4</w:t>
      </w:r>
      <w:r>
        <w:rPr>
          <w:sz w:val="22"/>
          <w:lang w:val="en-GB"/>
        </w:rPr>
        <w:tab/>
        <w:t>The cost of conserving this SDC will be covered by sources available to CGN.</w:t>
      </w:r>
    </w:p>
    <w:p w14:paraId="147E7ADC" w14:textId="77777777" w:rsidR="00B827A8" w:rsidRDefault="00B827A8">
      <w:pPr>
        <w:ind w:left="851" w:hanging="567"/>
        <w:jc w:val="both"/>
        <w:rPr>
          <w:sz w:val="22"/>
          <w:lang w:val="en-GB"/>
        </w:rPr>
      </w:pPr>
    </w:p>
    <w:p w14:paraId="533C02F1" w14:textId="77777777" w:rsidR="00B827A8" w:rsidRDefault="00B827A8">
      <w:pPr>
        <w:ind w:left="851" w:hanging="567"/>
        <w:jc w:val="both"/>
        <w:rPr>
          <w:sz w:val="22"/>
          <w:lang w:val="en-GB"/>
        </w:rPr>
      </w:pPr>
      <w:r>
        <w:rPr>
          <w:sz w:val="22"/>
          <w:lang w:val="en-GB"/>
        </w:rPr>
        <w:t>§5</w:t>
      </w:r>
      <w:r>
        <w:rPr>
          <w:sz w:val="22"/>
          <w:lang w:val="en-GB"/>
        </w:rPr>
        <w:tab/>
        <w:t>In a situation of emergency all measures will be taken by CGN to maintain the safe storage of the deposited material.</w:t>
      </w:r>
    </w:p>
    <w:p w14:paraId="4049BA28" w14:textId="77777777" w:rsidR="00B827A8" w:rsidRDefault="00B827A8">
      <w:pPr>
        <w:ind w:left="851" w:hanging="567"/>
        <w:jc w:val="both"/>
        <w:rPr>
          <w:sz w:val="22"/>
          <w:lang w:val="en-GB"/>
        </w:rPr>
      </w:pPr>
    </w:p>
    <w:p w14:paraId="11807A48" w14:textId="58280A69" w:rsidR="00B827A8" w:rsidRDefault="00B827A8" w:rsidP="005C246E">
      <w:pPr>
        <w:ind w:left="851" w:hanging="567"/>
        <w:jc w:val="both"/>
        <w:rPr>
          <w:b/>
          <w:sz w:val="22"/>
          <w:lang w:val="en-GB"/>
        </w:rPr>
      </w:pPr>
      <w:r>
        <w:rPr>
          <w:sz w:val="22"/>
          <w:lang w:val="en-GB"/>
        </w:rPr>
        <w:t>§6</w:t>
      </w:r>
      <w:r>
        <w:rPr>
          <w:sz w:val="22"/>
          <w:lang w:val="en-GB"/>
        </w:rPr>
        <w:tab/>
        <w:t>In case of accidents or any other event that may inflict upon the viability, germinability, or availability of the deposited seed, CGN will not be liable to pay any damages to the</w:t>
      </w:r>
      <w:r>
        <w:rPr>
          <w:b/>
          <w:sz w:val="22"/>
          <w:lang w:val="en-GB"/>
        </w:rPr>
        <w:t>....(</w:t>
      </w:r>
      <w:r>
        <w:rPr>
          <w:b/>
          <w:i/>
          <w:sz w:val="22"/>
          <w:lang w:val="en-GB"/>
        </w:rPr>
        <w:t>abr. Inst</w:t>
      </w:r>
      <w:r>
        <w:rPr>
          <w:sz w:val="22"/>
          <w:lang w:val="en-GB"/>
        </w:rPr>
        <w:t>). CGN will inform (in written form) the other party as soon as possible after the accident or event about the possible damage.</w:t>
      </w:r>
    </w:p>
    <w:p w14:paraId="08DFCB97" w14:textId="77777777" w:rsidR="00B827A8" w:rsidRDefault="00B827A8">
      <w:pPr>
        <w:tabs>
          <w:tab w:val="left" w:pos="993"/>
        </w:tabs>
        <w:ind w:left="567" w:hanging="283"/>
        <w:jc w:val="both"/>
        <w:rPr>
          <w:b/>
          <w:sz w:val="22"/>
          <w:lang w:val="en-GB"/>
        </w:rPr>
      </w:pPr>
    </w:p>
    <w:p w14:paraId="0C921283" w14:textId="77777777" w:rsidR="00B827A8" w:rsidRDefault="00B827A8">
      <w:pPr>
        <w:tabs>
          <w:tab w:val="left" w:pos="993"/>
        </w:tabs>
        <w:ind w:left="567" w:hanging="283"/>
        <w:jc w:val="both"/>
        <w:rPr>
          <w:b/>
          <w:sz w:val="22"/>
          <w:lang w:val="en-GB"/>
        </w:rPr>
      </w:pPr>
      <w:r>
        <w:rPr>
          <w:b/>
          <w:sz w:val="22"/>
          <w:lang w:val="en-GB"/>
        </w:rPr>
        <w:t xml:space="preserve"> ii. Of relevance for the ....(</w:t>
      </w:r>
      <w:r>
        <w:rPr>
          <w:b/>
          <w:i/>
          <w:sz w:val="22"/>
          <w:lang w:val="en-GB"/>
        </w:rPr>
        <w:t>abr. Inst</w:t>
      </w:r>
      <w:r>
        <w:rPr>
          <w:b/>
          <w:sz w:val="22"/>
          <w:lang w:val="en-GB"/>
        </w:rPr>
        <w:t>):</w:t>
      </w:r>
    </w:p>
    <w:p w14:paraId="1320C00B" w14:textId="77777777" w:rsidR="00000E25" w:rsidRDefault="00000E25">
      <w:pPr>
        <w:tabs>
          <w:tab w:val="left" w:pos="993"/>
        </w:tabs>
        <w:ind w:left="567" w:hanging="283"/>
        <w:jc w:val="both"/>
        <w:rPr>
          <w:b/>
          <w:sz w:val="22"/>
          <w:lang w:val="en-GB"/>
        </w:rPr>
      </w:pPr>
    </w:p>
    <w:p w14:paraId="652FEED0" w14:textId="7FB38A4C" w:rsidR="00B827A8" w:rsidRDefault="00B827A8">
      <w:pPr>
        <w:ind w:left="851" w:hanging="567"/>
        <w:jc w:val="both"/>
        <w:rPr>
          <w:sz w:val="22"/>
          <w:lang w:val="en-GB"/>
        </w:rPr>
      </w:pPr>
      <w:r>
        <w:rPr>
          <w:sz w:val="22"/>
          <w:lang w:val="en-GB"/>
        </w:rPr>
        <w:t>§7</w:t>
      </w:r>
      <w:r>
        <w:rPr>
          <w:sz w:val="22"/>
          <w:lang w:val="en-GB"/>
        </w:rPr>
        <w:tab/>
        <w:t xml:space="preserve">The </w:t>
      </w:r>
      <w:r>
        <w:rPr>
          <w:b/>
          <w:sz w:val="22"/>
          <w:lang w:val="en-GB"/>
        </w:rPr>
        <w:t>....(</w:t>
      </w:r>
      <w:r>
        <w:rPr>
          <w:b/>
          <w:i/>
          <w:sz w:val="22"/>
          <w:lang w:val="en-GB"/>
        </w:rPr>
        <w:t>abr. Inst</w:t>
      </w:r>
      <w:r>
        <w:rPr>
          <w:b/>
          <w:sz w:val="22"/>
          <w:lang w:val="en-GB"/>
        </w:rPr>
        <w:t>).</w:t>
      </w:r>
      <w:r>
        <w:rPr>
          <w:sz w:val="22"/>
          <w:lang w:val="en-GB"/>
        </w:rPr>
        <w:t xml:space="preserve"> is responsible for all seed management activities (threshing, drying, packing</w:t>
      </w:r>
      <w:r w:rsidR="00000E25">
        <w:rPr>
          <w:sz w:val="22"/>
          <w:lang w:val="en-GB"/>
        </w:rPr>
        <w:t xml:space="preserve">, </w:t>
      </w:r>
      <w:r>
        <w:rPr>
          <w:sz w:val="22"/>
          <w:lang w:val="en-GB"/>
        </w:rPr>
        <w:t>if possible in sealed aluminium foil bags, germination tests, etc.) preceding storage.</w:t>
      </w:r>
    </w:p>
    <w:p w14:paraId="7AE99207" w14:textId="77777777" w:rsidR="00B827A8" w:rsidRDefault="00B827A8">
      <w:pPr>
        <w:ind w:left="851" w:hanging="567"/>
        <w:jc w:val="both"/>
        <w:rPr>
          <w:sz w:val="22"/>
          <w:lang w:val="en-GB"/>
        </w:rPr>
      </w:pPr>
    </w:p>
    <w:p w14:paraId="6D940908" w14:textId="77777777" w:rsidR="00B827A8" w:rsidRDefault="00B827A8">
      <w:pPr>
        <w:ind w:left="851" w:hanging="567"/>
        <w:jc w:val="both"/>
        <w:rPr>
          <w:sz w:val="22"/>
          <w:lang w:val="en-GB"/>
        </w:rPr>
      </w:pPr>
      <w:r>
        <w:rPr>
          <w:sz w:val="22"/>
          <w:lang w:val="en-GB"/>
        </w:rPr>
        <w:t>§8</w:t>
      </w:r>
      <w:r>
        <w:rPr>
          <w:sz w:val="22"/>
          <w:lang w:val="en-GB"/>
        </w:rPr>
        <w:tab/>
        <w:t>The</w:t>
      </w:r>
      <w:r>
        <w:rPr>
          <w:b/>
          <w:sz w:val="22"/>
          <w:lang w:val="en-GB"/>
        </w:rPr>
        <w:t>....(</w:t>
      </w:r>
      <w:r>
        <w:rPr>
          <w:b/>
          <w:i/>
          <w:sz w:val="22"/>
          <w:lang w:val="en-GB"/>
        </w:rPr>
        <w:t>abr. Inst</w:t>
      </w:r>
      <w:r>
        <w:rPr>
          <w:b/>
          <w:sz w:val="22"/>
          <w:lang w:val="en-GB"/>
        </w:rPr>
        <w:t>).</w:t>
      </w:r>
      <w:r>
        <w:rPr>
          <w:sz w:val="22"/>
          <w:lang w:val="en-GB"/>
        </w:rPr>
        <w:t xml:space="preserve"> accepts to deliver a recommended number of high quality seeds per accession to be included in the SDC. All shipments shall be accompanied with a Phytosanitary Certifi</w:t>
      </w:r>
      <w:r>
        <w:rPr>
          <w:sz w:val="22"/>
          <w:lang w:val="en-GB"/>
        </w:rPr>
        <w:softHyphen/>
        <w:t>cate issued by the Plant Quarantine Service of ... (</w:t>
      </w:r>
      <w:proofErr w:type="spellStart"/>
      <w:r>
        <w:rPr>
          <w:b/>
          <w:i/>
          <w:sz w:val="22"/>
          <w:lang w:val="en-GB"/>
        </w:rPr>
        <w:t>cnt</w:t>
      </w:r>
      <w:proofErr w:type="spellEnd"/>
      <w:r>
        <w:rPr>
          <w:sz w:val="22"/>
          <w:lang w:val="en-GB"/>
        </w:rPr>
        <w:t>), if appropriate.</w:t>
      </w:r>
    </w:p>
    <w:p w14:paraId="632B66B9" w14:textId="77777777" w:rsidR="00B827A8" w:rsidRDefault="00B827A8">
      <w:pPr>
        <w:ind w:left="851" w:hanging="567"/>
        <w:jc w:val="both"/>
        <w:rPr>
          <w:sz w:val="22"/>
          <w:lang w:val="en-GB"/>
        </w:rPr>
      </w:pPr>
    </w:p>
    <w:p w14:paraId="1310B9ED" w14:textId="0D1C00C8" w:rsidR="00B827A8" w:rsidRDefault="00B827A8">
      <w:pPr>
        <w:ind w:left="851" w:hanging="567"/>
        <w:jc w:val="both"/>
        <w:rPr>
          <w:sz w:val="22"/>
          <w:lang w:val="en-GB"/>
        </w:rPr>
      </w:pPr>
      <w:r>
        <w:rPr>
          <w:sz w:val="22"/>
          <w:lang w:val="en-GB"/>
        </w:rPr>
        <w:t>§9</w:t>
      </w:r>
      <w:r>
        <w:rPr>
          <w:sz w:val="22"/>
          <w:lang w:val="en-GB"/>
        </w:rPr>
        <w:tab/>
        <w:t xml:space="preserve">The </w:t>
      </w:r>
      <w:r>
        <w:rPr>
          <w:b/>
          <w:sz w:val="22"/>
          <w:lang w:val="en-GB"/>
        </w:rPr>
        <w:t>....(</w:t>
      </w:r>
      <w:r>
        <w:rPr>
          <w:b/>
          <w:i/>
          <w:sz w:val="22"/>
          <w:lang w:val="en-GB"/>
        </w:rPr>
        <w:t>abr. Inst</w:t>
      </w:r>
      <w:r>
        <w:rPr>
          <w:b/>
          <w:sz w:val="22"/>
          <w:lang w:val="en-GB"/>
        </w:rPr>
        <w:t>)</w:t>
      </w:r>
      <w:r>
        <w:rPr>
          <w:sz w:val="22"/>
          <w:lang w:val="en-GB"/>
        </w:rPr>
        <w:t xml:space="preserve"> further accepts the responsibility of supplying CGN with a </w:t>
      </w:r>
      <w:r w:rsidR="00B76C7E">
        <w:rPr>
          <w:sz w:val="22"/>
          <w:lang w:val="en-GB"/>
        </w:rPr>
        <w:t>copy</w:t>
      </w:r>
      <w:r>
        <w:rPr>
          <w:sz w:val="22"/>
          <w:lang w:val="en-GB"/>
        </w:rPr>
        <w:t xml:space="preserve"> of passport and relevant management data, if available in computerised form, pertaining to each stored acces</w:t>
      </w:r>
      <w:r>
        <w:rPr>
          <w:sz w:val="22"/>
          <w:lang w:val="en-GB"/>
        </w:rPr>
        <w:softHyphen/>
        <w:t>sion.</w:t>
      </w:r>
    </w:p>
    <w:p w14:paraId="03B97019" w14:textId="77777777" w:rsidR="00B827A8" w:rsidRDefault="00B827A8">
      <w:pPr>
        <w:ind w:left="851" w:hanging="567"/>
        <w:jc w:val="both"/>
        <w:rPr>
          <w:sz w:val="22"/>
          <w:lang w:val="en-GB"/>
        </w:rPr>
      </w:pPr>
    </w:p>
    <w:p w14:paraId="7C0E2EFE" w14:textId="77777777" w:rsidR="00B827A8" w:rsidRDefault="00B827A8">
      <w:pPr>
        <w:ind w:left="851" w:hanging="567"/>
        <w:jc w:val="both"/>
        <w:rPr>
          <w:b/>
          <w:sz w:val="22"/>
          <w:lang w:val="en-GB"/>
        </w:rPr>
      </w:pPr>
      <w:r>
        <w:rPr>
          <w:sz w:val="22"/>
          <w:lang w:val="en-GB"/>
        </w:rPr>
        <w:t>§10</w:t>
      </w:r>
      <w:r>
        <w:rPr>
          <w:sz w:val="22"/>
          <w:lang w:val="en-GB"/>
        </w:rPr>
        <w:tab/>
        <w:t xml:space="preserve">Decisions regarding the inclusion or removal of accessions from the SDC will be taken by the </w:t>
      </w:r>
      <w:r>
        <w:rPr>
          <w:b/>
          <w:sz w:val="22"/>
          <w:lang w:val="en-GB"/>
        </w:rPr>
        <w:t>....(</w:t>
      </w:r>
      <w:r>
        <w:rPr>
          <w:b/>
          <w:i/>
          <w:sz w:val="22"/>
          <w:lang w:val="en-GB"/>
        </w:rPr>
        <w:t>abr. Inst</w:t>
      </w:r>
      <w:r>
        <w:rPr>
          <w:b/>
          <w:sz w:val="22"/>
          <w:lang w:val="en-GB"/>
        </w:rPr>
        <w:t xml:space="preserve">) </w:t>
      </w:r>
      <w:r>
        <w:rPr>
          <w:sz w:val="22"/>
          <w:lang w:val="en-GB"/>
        </w:rPr>
        <w:t xml:space="preserve">within the scope defined in </w:t>
      </w:r>
      <w:r>
        <w:rPr>
          <w:b/>
          <w:sz w:val="22"/>
          <w:lang w:val="en-GB"/>
        </w:rPr>
        <w:t xml:space="preserve">Section I. </w:t>
      </w:r>
    </w:p>
    <w:p w14:paraId="472DC427" w14:textId="77777777" w:rsidR="00B827A8" w:rsidRDefault="00B827A8">
      <w:pPr>
        <w:ind w:left="851" w:hanging="567"/>
        <w:jc w:val="both"/>
        <w:rPr>
          <w:sz w:val="22"/>
          <w:lang w:val="en-GB"/>
        </w:rPr>
      </w:pPr>
    </w:p>
    <w:p w14:paraId="41CAEC00" w14:textId="77777777" w:rsidR="00B827A8" w:rsidRDefault="00B827A8">
      <w:pPr>
        <w:ind w:left="851" w:hanging="567"/>
        <w:jc w:val="both"/>
        <w:rPr>
          <w:b/>
          <w:sz w:val="22"/>
          <w:lang w:val="en-GB"/>
        </w:rPr>
      </w:pPr>
      <w:r>
        <w:rPr>
          <w:b/>
          <w:sz w:val="22"/>
          <w:lang w:val="en-GB"/>
        </w:rPr>
        <w:t>iii. Of relevance for both:</w:t>
      </w:r>
    </w:p>
    <w:p w14:paraId="20CCA20E" w14:textId="77777777" w:rsidR="00B827A8" w:rsidRDefault="00B827A8">
      <w:pPr>
        <w:ind w:left="851" w:hanging="567"/>
        <w:jc w:val="both"/>
        <w:rPr>
          <w:sz w:val="22"/>
          <w:lang w:val="en-GB"/>
        </w:rPr>
      </w:pPr>
    </w:p>
    <w:p w14:paraId="6571B5B2" w14:textId="77777777" w:rsidR="00B827A8" w:rsidRDefault="00B827A8">
      <w:pPr>
        <w:ind w:left="851" w:hanging="567"/>
        <w:jc w:val="both"/>
        <w:rPr>
          <w:sz w:val="22"/>
          <w:lang w:val="en-GB"/>
        </w:rPr>
      </w:pPr>
      <w:r>
        <w:rPr>
          <w:sz w:val="22"/>
          <w:lang w:val="en-GB"/>
        </w:rPr>
        <w:t>§11</w:t>
      </w:r>
      <w:r>
        <w:rPr>
          <w:sz w:val="22"/>
          <w:lang w:val="en-GB"/>
        </w:rPr>
        <w:tab/>
        <w:t>The material deposited in the SDC at CGN falls under the sovereignty of the State of ... (</w:t>
      </w:r>
      <w:proofErr w:type="spellStart"/>
      <w:r>
        <w:rPr>
          <w:b/>
          <w:i/>
          <w:sz w:val="22"/>
          <w:lang w:val="en-GB"/>
        </w:rPr>
        <w:t>cnt</w:t>
      </w:r>
      <w:proofErr w:type="spellEnd"/>
      <w:r>
        <w:rPr>
          <w:sz w:val="22"/>
          <w:lang w:val="en-GB"/>
        </w:rPr>
        <w:t>).</w:t>
      </w:r>
    </w:p>
    <w:p w14:paraId="565459DC" w14:textId="77777777" w:rsidR="00B827A8" w:rsidRDefault="00B827A8">
      <w:pPr>
        <w:ind w:left="851" w:hanging="567"/>
        <w:jc w:val="both"/>
        <w:rPr>
          <w:sz w:val="22"/>
          <w:lang w:val="en-GB"/>
        </w:rPr>
      </w:pPr>
    </w:p>
    <w:p w14:paraId="7D0831D9" w14:textId="77777777" w:rsidR="00B827A8" w:rsidRDefault="00B827A8">
      <w:pPr>
        <w:ind w:left="851" w:hanging="567"/>
        <w:jc w:val="both"/>
        <w:rPr>
          <w:sz w:val="22"/>
          <w:lang w:val="en-GB"/>
        </w:rPr>
      </w:pPr>
      <w:r>
        <w:rPr>
          <w:sz w:val="22"/>
          <w:lang w:val="en-GB"/>
        </w:rPr>
        <w:t>§12</w:t>
      </w:r>
      <w:r>
        <w:rPr>
          <w:sz w:val="22"/>
          <w:lang w:val="en-GB"/>
        </w:rPr>
        <w:tab/>
        <w:t xml:space="preserve">Upon notice, the </w:t>
      </w:r>
      <w:r>
        <w:rPr>
          <w:b/>
          <w:sz w:val="22"/>
          <w:lang w:val="en-GB"/>
        </w:rPr>
        <w:t>....(</w:t>
      </w:r>
      <w:r>
        <w:rPr>
          <w:b/>
          <w:i/>
          <w:sz w:val="22"/>
          <w:lang w:val="en-GB"/>
        </w:rPr>
        <w:t>abr. Inst</w:t>
      </w:r>
      <w:r>
        <w:rPr>
          <w:b/>
          <w:sz w:val="22"/>
          <w:lang w:val="en-GB"/>
        </w:rPr>
        <w:t>).</w:t>
      </w:r>
      <w:r>
        <w:rPr>
          <w:sz w:val="22"/>
          <w:lang w:val="en-GB"/>
        </w:rPr>
        <w:t xml:space="preserve"> has the right to inspect the SDC at any suitable time.</w:t>
      </w:r>
    </w:p>
    <w:p w14:paraId="3E6D455F" w14:textId="77777777" w:rsidR="00B827A8" w:rsidRDefault="00B827A8">
      <w:pPr>
        <w:ind w:left="851" w:hanging="567"/>
        <w:jc w:val="both"/>
        <w:rPr>
          <w:sz w:val="22"/>
          <w:lang w:val="en-GB"/>
        </w:rPr>
      </w:pPr>
    </w:p>
    <w:p w14:paraId="010B2AF4" w14:textId="77777777" w:rsidR="00B827A8" w:rsidRDefault="00B827A8">
      <w:pPr>
        <w:ind w:left="851" w:hanging="567"/>
        <w:jc w:val="both"/>
        <w:rPr>
          <w:sz w:val="22"/>
          <w:lang w:val="en-GB"/>
        </w:rPr>
      </w:pPr>
      <w:r>
        <w:rPr>
          <w:sz w:val="22"/>
          <w:lang w:val="en-GB"/>
        </w:rPr>
        <w:t>§13</w:t>
      </w:r>
      <w:r>
        <w:rPr>
          <w:sz w:val="22"/>
          <w:lang w:val="en-GB"/>
        </w:rPr>
        <w:tab/>
        <w:t>This MOU may be modified or discontinued at the request of either party.</w:t>
      </w:r>
    </w:p>
    <w:p w14:paraId="247B7329" w14:textId="77777777" w:rsidR="00B827A8" w:rsidRDefault="00B827A8">
      <w:pPr>
        <w:ind w:left="851" w:hanging="567"/>
        <w:jc w:val="both"/>
        <w:rPr>
          <w:sz w:val="22"/>
          <w:lang w:val="en-GB"/>
        </w:rPr>
      </w:pPr>
    </w:p>
    <w:p w14:paraId="2EFDBF4B" w14:textId="77777777" w:rsidR="00B827A8" w:rsidRDefault="00B827A8">
      <w:pPr>
        <w:ind w:left="851" w:hanging="567"/>
        <w:jc w:val="both"/>
        <w:rPr>
          <w:sz w:val="22"/>
          <w:lang w:val="en-GB"/>
        </w:rPr>
      </w:pPr>
      <w:r>
        <w:rPr>
          <w:sz w:val="22"/>
          <w:lang w:val="en-GB"/>
        </w:rPr>
        <w:t>§14</w:t>
      </w:r>
      <w:r>
        <w:rPr>
          <w:sz w:val="22"/>
          <w:lang w:val="en-GB"/>
        </w:rPr>
        <w:tab/>
        <w:t>Requests for termination or any change to the MOU shall be submitted to the other party for consideration not less than six (6) months prior to the desired effective date of termination.</w:t>
      </w:r>
    </w:p>
    <w:p w14:paraId="57A06597" w14:textId="77777777" w:rsidR="00B827A8" w:rsidRDefault="00B827A8">
      <w:pPr>
        <w:ind w:left="851" w:hanging="567"/>
        <w:jc w:val="both"/>
        <w:rPr>
          <w:sz w:val="22"/>
          <w:lang w:val="en-GB"/>
        </w:rPr>
      </w:pPr>
    </w:p>
    <w:p w14:paraId="3F664309" w14:textId="77777777" w:rsidR="00B827A8" w:rsidRDefault="00B827A8">
      <w:pPr>
        <w:ind w:left="851" w:hanging="567"/>
        <w:jc w:val="both"/>
        <w:rPr>
          <w:sz w:val="22"/>
          <w:lang w:val="en-GB"/>
        </w:rPr>
      </w:pPr>
      <w:r>
        <w:rPr>
          <w:sz w:val="22"/>
          <w:lang w:val="en-GB"/>
        </w:rPr>
        <w:t>§15</w:t>
      </w:r>
      <w:r>
        <w:rPr>
          <w:sz w:val="22"/>
          <w:lang w:val="en-GB"/>
        </w:rPr>
        <w:tab/>
        <w:t>This MOU has indefinite duration, but shall be reviewed once every five (5) years for relevancy.</w:t>
      </w:r>
    </w:p>
    <w:p w14:paraId="51268516" w14:textId="77777777" w:rsidR="00B827A8" w:rsidRDefault="00B827A8">
      <w:pPr>
        <w:tabs>
          <w:tab w:val="left" w:pos="567"/>
        </w:tabs>
        <w:jc w:val="both"/>
        <w:rPr>
          <w:sz w:val="22"/>
          <w:lang w:val="en-GB"/>
        </w:rPr>
      </w:pPr>
    </w:p>
    <w:p w14:paraId="4DCC8E82" w14:textId="77777777" w:rsidR="00B827A8" w:rsidRDefault="00B827A8">
      <w:pPr>
        <w:tabs>
          <w:tab w:val="left" w:pos="567"/>
        </w:tabs>
        <w:jc w:val="both"/>
        <w:rPr>
          <w:sz w:val="22"/>
          <w:lang w:val="en-GB"/>
        </w:rPr>
      </w:pPr>
    </w:p>
    <w:p w14:paraId="3B83F22F" w14:textId="1DB3EB8B" w:rsidR="00B827A8" w:rsidRDefault="00B827A8">
      <w:pPr>
        <w:tabs>
          <w:tab w:val="left" w:pos="567"/>
        </w:tabs>
        <w:jc w:val="both"/>
        <w:rPr>
          <w:sz w:val="22"/>
          <w:lang w:val="en-GB"/>
        </w:rPr>
      </w:pPr>
      <w:r>
        <w:rPr>
          <w:sz w:val="22"/>
          <w:lang w:val="en-GB"/>
        </w:rPr>
        <w:t>Signed:</w:t>
      </w:r>
      <w:r>
        <w:rPr>
          <w:sz w:val="22"/>
          <w:lang w:val="en-GB"/>
        </w:rPr>
        <w:tab/>
        <w:t xml:space="preserve">Wageningen </w:t>
      </w:r>
      <w:r>
        <w:rPr>
          <w:sz w:val="22"/>
          <w:lang w:val="en-GB"/>
        </w:rPr>
        <w:fldChar w:fldCharType="begin"/>
      </w:r>
      <w:r>
        <w:rPr>
          <w:sz w:val="22"/>
          <w:lang w:val="en-GB"/>
        </w:rPr>
        <w:instrText xml:space="preserve"> TIME \@ "d MMMM yyyy" </w:instrText>
      </w:r>
      <w:r>
        <w:rPr>
          <w:sz w:val="22"/>
          <w:lang w:val="en-GB"/>
        </w:rPr>
        <w:fldChar w:fldCharType="separate"/>
      </w:r>
      <w:r w:rsidR="00A73786">
        <w:rPr>
          <w:noProof/>
          <w:sz w:val="22"/>
          <w:lang w:val="en-GB"/>
        </w:rPr>
        <w:t>25 April 2024</w:t>
      </w:r>
      <w:r>
        <w:rPr>
          <w:sz w:val="22"/>
          <w:lang w:val="en-GB"/>
        </w:rPr>
        <w:fldChar w:fldCharType="end"/>
      </w:r>
      <w:r>
        <w:rPr>
          <w:sz w:val="22"/>
          <w:lang w:val="en-GB"/>
        </w:rPr>
        <w:t>,</w:t>
      </w:r>
      <w:r>
        <w:rPr>
          <w:sz w:val="22"/>
          <w:lang w:val="en-GB"/>
        </w:rPr>
        <w:tab/>
        <w:t xml:space="preserve">                  </w:t>
      </w:r>
      <w:r w:rsidR="00283808">
        <w:rPr>
          <w:sz w:val="22"/>
          <w:lang w:val="en-GB"/>
        </w:rPr>
        <w:tab/>
      </w:r>
      <w:r>
        <w:rPr>
          <w:sz w:val="22"/>
          <w:lang w:val="en-GB"/>
        </w:rPr>
        <w:t xml:space="preserve">Place, date </w:t>
      </w:r>
    </w:p>
    <w:p w14:paraId="4FEED090" w14:textId="77777777" w:rsidR="00B827A8" w:rsidRDefault="00B827A8">
      <w:pPr>
        <w:tabs>
          <w:tab w:val="left" w:pos="567"/>
        </w:tabs>
        <w:jc w:val="both"/>
        <w:rPr>
          <w:sz w:val="22"/>
          <w:lang w:val="en-GB"/>
        </w:rPr>
      </w:pPr>
    </w:p>
    <w:p w14:paraId="17C3F5D6" w14:textId="77777777" w:rsidR="00B827A8" w:rsidRDefault="00B827A8">
      <w:pPr>
        <w:tabs>
          <w:tab w:val="left" w:pos="567"/>
        </w:tabs>
        <w:jc w:val="both"/>
        <w:rPr>
          <w:sz w:val="22"/>
          <w:lang w:val="en-GB"/>
        </w:rPr>
      </w:pPr>
    </w:p>
    <w:p w14:paraId="53BADE32" w14:textId="77777777" w:rsidR="00B827A8" w:rsidRDefault="00B827A8">
      <w:pPr>
        <w:tabs>
          <w:tab w:val="left" w:pos="567"/>
        </w:tabs>
        <w:jc w:val="both"/>
        <w:rPr>
          <w:sz w:val="22"/>
          <w:lang w:val="en-GB"/>
        </w:rPr>
      </w:pPr>
      <w:r>
        <w:rPr>
          <w:sz w:val="22"/>
          <w:lang w:val="en-GB"/>
        </w:rPr>
        <w:tab/>
      </w:r>
      <w:r>
        <w:rPr>
          <w:sz w:val="22"/>
          <w:lang w:val="en-GB"/>
        </w:rPr>
        <w:tab/>
        <w:t>………………………………</w:t>
      </w:r>
      <w:r>
        <w:rPr>
          <w:sz w:val="22"/>
          <w:lang w:val="en-GB"/>
        </w:rPr>
        <w:tab/>
        <w:t>…………………………</w:t>
      </w:r>
    </w:p>
    <w:p w14:paraId="42EAFAA2" w14:textId="34D3A89B" w:rsidR="00B827A8" w:rsidRDefault="00B827A8">
      <w:pPr>
        <w:tabs>
          <w:tab w:val="left" w:pos="567"/>
        </w:tabs>
        <w:jc w:val="both"/>
        <w:rPr>
          <w:sz w:val="22"/>
          <w:lang w:val="en-GB"/>
        </w:rPr>
      </w:pPr>
      <w:r>
        <w:rPr>
          <w:sz w:val="22"/>
          <w:lang w:val="en-GB"/>
        </w:rPr>
        <w:tab/>
      </w:r>
      <w:r>
        <w:rPr>
          <w:sz w:val="22"/>
          <w:lang w:val="en-GB"/>
        </w:rPr>
        <w:tab/>
      </w:r>
      <w:r w:rsidR="00283808" w:rsidRPr="00283808">
        <w:rPr>
          <w:sz w:val="22"/>
          <w:lang w:val="en-GB"/>
        </w:rPr>
        <w:t>Head of CGN Plant Genetic Resources</w:t>
      </w:r>
      <w:r>
        <w:rPr>
          <w:sz w:val="22"/>
          <w:lang w:val="en-GB"/>
        </w:rPr>
        <w:tab/>
        <w:t>The Director</w:t>
      </w:r>
      <w:r>
        <w:rPr>
          <w:sz w:val="22"/>
          <w:lang w:val="en-GB"/>
        </w:rPr>
        <w:tab/>
      </w:r>
      <w:r>
        <w:rPr>
          <w:sz w:val="22"/>
          <w:lang w:val="en-GB"/>
        </w:rPr>
        <w:tab/>
      </w:r>
      <w:r>
        <w:rPr>
          <w:sz w:val="22"/>
          <w:lang w:val="en-GB"/>
        </w:rPr>
        <w:tab/>
      </w:r>
      <w:r>
        <w:rPr>
          <w:sz w:val="22"/>
          <w:lang w:val="en-GB"/>
        </w:rPr>
        <w:tab/>
        <w:t>CGN</w:t>
      </w:r>
      <w:r>
        <w:rPr>
          <w:sz w:val="22"/>
          <w:lang w:val="en-GB"/>
        </w:rPr>
        <w:tab/>
      </w:r>
      <w:r>
        <w:rPr>
          <w:sz w:val="22"/>
          <w:lang w:val="en-GB"/>
        </w:rPr>
        <w:tab/>
        <w:t xml:space="preserve">   </w:t>
      </w:r>
      <w:r>
        <w:rPr>
          <w:sz w:val="22"/>
          <w:lang w:val="en-GB"/>
        </w:rPr>
        <w:tab/>
      </w:r>
      <w:r>
        <w:rPr>
          <w:b/>
          <w:sz w:val="22"/>
          <w:lang w:val="en-GB"/>
        </w:rPr>
        <w:t>....(</w:t>
      </w:r>
      <w:r>
        <w:rPr>
          <w:b/>
          <w:i/>
          <w:sz w:val="22"/>
          <w:lang w:val="en-GB"/>
        </w:rPr>
        <w:t>abr. Inst</w:t>
      </w:r>
      <w:r>
        <w:rPr>
          <w:b/>
          <w:sz w:val="22"/>
          <w:lang w:val="en-GB"/>
        </w:rPr>
        <w:t>).</w:t>
      </w:r>
    </w:p>
    <w:p w14:paraId="4B9DE3DB" w14:textId="1D8F231D" w:rsidR="00B827A8" w:rsidRDefault="00B827A8">
      <w:pPr>
        <w:tabs>
          <w:tab w:val="left" w:pos="567"/>
        </w:tabs>
        <w:jc w:val="both"/>
        <w:rPr>
          <w:sz w:val="22"/>
          <w:lang w:val="en-GB"/>
        </w:rPr>
      </w:pPr>
      <w:r>
        <w:rPr>
          <w:sz w:val="22"/>
          <w:lang w:val="en-GB"/>
        </w:rPr>
        <w:tab/>
      </w:r>
      <w:r>
        <w:rPr>
          <w:sz w:val="22"/>
          <w:lang w:val="en-GB"/>
        </w:rPr>
        <w:tab/>
      </w:r>
      <w:r w:rsidR="00283808">
        <w:rPr>
          <w:sz w:val="22"/>
          <w:lang w:val="en-GB"/>
        </w:rPr>
        <w:t>Theo van Hintum</w:t>
      </w:r>
      <w:r>
        <w:rPr>
          <w:sz w:val="22"/>
          <w:lang w:val="en-GB"/>
        </w:rPr>
        <w:tab/>
      </w:r>
      <w:r>
        <w:rPr>
          <w:sz w:val="22"/>
          <w:lang w:val="en-GB"/>
        </w:rPr>
        <w:tab/>
        <w:t xml:space="preserve"> (</w:t>
      </w:r>
      <w:r>
        <w:rPr>
          <w:b/>
          <w:i/>
          <w:sz w:val="22"/>
          <w:lang w:val="en-GB"/>
        </w:rPr>
        <w:t>name</w:t>
      </w:r>
      <w:r>
        <w:rPr>
          <w:sz w:val="22"/>
          <w:lang w:val="en-GB"/>
        </w:rPr>
        <w:t>)</w:t>
      </w:r>
    </w:p>
    <w:sectPr w:rsidR="00B827A8">
      <w:headerReference w:type="default" r:id="rId6"/>
      <w:footerReference w:type="default" r:id="rId7"/>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B806C" w14:textId="77777777" w:rsidR="00900E55" w:rsidRDefault="00900E55">
      <w:r>
        <w:separator/>
      </w:r>
    </w:p>
  </w:endnote>
  <w:endnote w:type="continuationSeparator" w:id="0">
    <w:p w14:paraId="7664D880" w14:textId="77777777" w:rsidR="00900E55" w:rsidRDefault="0090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Univers">
    <w:charset w:val="00"/>
    <w:family w:val="swiss"/>
    <w:pitch w:val="variable"/>
    <w:sig w:usb0="80000287" w:usb1="00000000" w:usb2="00000000" w:usb3="00000000" w:csb0="0000000F" w:csb1="00000000"/>
  </w:font>
  <w:font w:name="EngraversGothic BT">
    <w:altName w:val="Palatino Linotyp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580E" w14:textId="77777777" w:rsidR="00B827A8" w:rsidRDefault="00B827A8">
    <w:pPr>
      <w:pStyle w:val="Footer"/>
    </w:pPr>
    <w:r>
      <w:tab/>
    </w:r>
    <w:r>
      <w:rPr>
        <w:rFonts w:ascii="EngraversGothic BT" w:hAnsi="EngraversGothic BT"/>
        <w:b/>
        <w:sz w:val="28"/>
      </w:rPr>
      <w:t xml:space="preserve">[ </w:t>
    </w:r>
    <w:r>
      <w:rPr>
        <w:rStyle w:val="PageNumber"/>
        <w:rFonts w:ascii="EngraversGothic BT" w:hAnsi="EngraversGothic BT"/>
        <w:b/>
        <w:sz w:val="28"/>
      </w:rPr>
      <w:fldChar w:fldCharType="begin"/>
    </w:r>
    <w:r>
      <w:rPr>
        <w:rStyle w:val="PageNumber"/>
        <w:rFonts w:ascii="EngraversGothic BT" w:hAnsi="EngraversGothic BT"/>
        <w:b/>
        <w:sz w:val="28"/>
      </w:rPr>
      <w:instrText xml:space="preserve"> PAGE </w:instrText>
    </w:r>
    <w:r>
      <w:rPr>
        <w:rStyle w:val="PageNumber"/>
        <w:rFonts w:ascii="EngraversGothic BT" w:hAnsi="EngraversGothic BT"/>
        <w:b/>
        <w:sz w:val="28"/>
      </w:rPr>
      <w:fldChar w:fldCharType="separate"/>
    </w:r>
    <w:r w:rsidR="003117CF">
      <w:rPr>
        <w:rStyle w:val="PageNumber"/>
        <w:rFonts w:ascii="EngraversGothic BT" w:hAnsi="EngraversGothic BT"/>
        <w:b/>
        <w:noProof/>
        <w:sz w:val="28"/>
      </w:rPr>
      <w:t>1</w:t>
    </w:r>
    <w:r>
      <w:rPr>
        <w:rStyle w:val="PageNumber"/>
        <w:rFonts w:ascii="EngraversGothic BT" w:hAnsi="EngraversGothic BT"/>
        <w:b/>
        <w:sz w:val="28"/>
      </w:rPr>
      <w:fldChar w:fldCharType="end"/>
    </w:r>
    <w:r>
      <w:rPr>
        <w:rStyle w:val="PageNumber"/>
        <w:rFonts w:ascii="EngraversGothic BT" w:hAnsi="EngraversGothic BT"/>
        <w:b/>
        <w:sz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E1DE7" w14:textId="77777777" w:rsidR="00900E55" w:rsidRDefault="00900E55">
      <w:r>
        <w:separator/>
      </w:r>
    </w:p>
  </w:footnote>
  <w:footnote w:type="continuationSeparator" w:id="0">
    <w:p w14:paraId="75D5E61B" w14:textId="77777777" w:rsidR="00900E55" w:rsidRDefault="00900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4033F" w14:textId="77777777" w:rsidR="00B827A8" w:rsidRDefault="00B827A8">
    <w:pPr>
      <w:pStyle w:val="Header"/>
      <w:jc w:val="center"/>
      <w:rPr>
        <w:rFonts w:ascii="Univers" w:hAnsi="Univers"/>
        <w:b/>
        <w:color w:val="C0C0C0"/>
        <w:sz w:val="28"/>
      </w:rPr>
    </w:pPr>
  </w:p>
  <w:p w14:paraId="360D70A3" w14:textId="77777777" w:rsidR="00B827A8" w:rsidRDefault="00B827A8">
    <w:pPr>
      <w:pStyle w:val="Header"/>
      <w:jc w:val="center"/>
      <w:rPr>
        <w:rFonts w:ascii="Univers" w:hAnsi="Univers"/>
        <w:b/>
        <w:color w:val="C0C0C0"/>
        <w:sz w:val="28"/>
      </w:rPr>
    </w:pPr>
  </w:p>
  <w:p w14:paraId="3CA6F482" w14:textId="77777777" w:rsidR="00B827A8" w:rsidRDefault="00B827A8">
    <w:pPr>
      <w:pStyle w:val="Header"/>
      <w:jc w:val="center"/>
      <w:rPr>
        <w:rFonts w:ascii="Univers" w:hAnsi="Univers"/>
        <w:b/>
        <w:color w:val="C0C0C0"/>
        <w:sz w:val="28"/>
      </w:rPr>
    </w:pPr>
  </w:p>
  <w:p w14:paraId="6BFEEA27" w14:textId="77777777" w:rsidR="00B827A8" w:rsidRDefault="00B827A8">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4D5"/>
    <w:rsid w:val="00000E25"/>
    <w:rsid w:val="00283808"/>
    <w:rsid w:val="003117CF"/>
    <w:rsid w:val="005C246E"/>
    <w:rsid w:val="00900E55"/>
    <w:rsid w:val="009844D5"/>
    <w:rsid w:val="00A73786"/>
    <w:rsid w:val="00B76C7E"/>
    <w:rsid w:val="00B827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D6BA38A"/>
  <w15:docId w15:val="{74C1BAE6-243C-40DE-ABCB-97D96962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sv-SE"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Title">
    <w:name w:val="Title"/>
    <w:basedOn w:val="Normal"/>
    <w:qFormat/>
    <w:pPr>
      <w:spacing w:before="240" w:after="60"/>
      <w:jc w:val="center"/>
    </w:pPr>
    <w:rPr>
      <w:rFonts w:ascii="Arial" w:hAnsi="Arial"/>
      <w:b/>
      <w:kern w:val="28"/>
      <w:sz w:val="32"/>
    </w:rPr>
  </w:style>
  <w:style w:type="paragraph" w:styleId="BodyText">
    <w:name w:val="Body Text"/>
    <w:basedOn w:val="Normal"/>
    <w:pPr>
      <w:spacing w:after="120"/>
    </w:pPr>
  </w:style>
  <w:style w:type="paragraph" w:styleId="Revision">
    <w:name w:val="Revision"/>
    <w:hidden/>
    <w:uiPriority w:val="99"/>
    <w:semiHidden/>
    <w:rsid w:val="00000E25"/>
    <w:rPr>
      <w:sz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85F4B-95EA-4DF8-9609-28C3AEDC8CB6}"/>
</file>

<file path=customXml/itemProps2.xml><?xml version="1.0" encoding="utf-8"?>
<ds:datastoreItem xmlns:ds="http://schemas.openxmlformats.org/officeDocument/2006/customXml" ds:itemID="{7EB7874E-6E7C-4F8C-ACB5-2F3362594511}"/>
</file>

<file path=docProps/app.xml><?xml version="1.0" encoding="utf-8"?>
<Properties xmlns="http://schemas.openxmlformats.org/officeDocument/2006/extended-properties" xmlns:vt="http://schemas.openxmlformats.org/officeDocument/2006/docPropsVTypes">
  <Template>Normal.dotm</Template>
  <TotalTime>3</TotalTime>
  <Pages>2</Pages>
  <Words>578</Words>
  <Characters>3301</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AGREEMENT</vt:lpstr>
      <vt:lpstr>AGREEMENT</vt:lpstr>
    </vt:vector>
  </TitlesOfParts>
  <Company>Wageningen UR</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creator>&lt;your username here&gt;</dc:creator>
  <cp:lastModifiedBy>Hintum, Theo van</cp:lastModifiedBy>
  <cp:revision>4</cp:revision>
  <cp:lastPrinted>2004-09-08T13:35:00Z</cp:lastPrinted>
  <dcterms:created xsi:type="dcterms:W3CDTF">2024-03-06T15:49:00Z</dcterms:created>
  <dcterms:modified xsi:type="dcterms:W3CDTF">2024-04-25T10:51:00Z</dcterms:modified>
</cp:coreProperties>
</file>