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4724BB" w14:textId="77777777" w:rsidR="00D23C11" w:rsidRPr="0048382E" w:rsidRDefault="00000000">
      <w:pPr>
        <w:rPr>
          <w:rFonts w:ascii="Verdana" w:hAnsi="Verdana"/>
          <w:b/>
          <w:sz w:val="18"/>
          <w:szCs w:val="18"/>
          <w:lang w:val="en-US"/>
        </w:rPr>
      </w:pPr>
      <w:r w:rsidRPr="0048382E">
        <w:rPr>
          <w:rFonts w:ascii="Verdana" w:hAnsi="Verdana"/>
          <w:b/>
          <w:sz w:val="18"/>
          <w:szCs w:val="18"/>
          <w:lang w:val="en-US"/>
        </w:rPr>
        <w:t xml:space="preserve">Target </w:t>
      </w:r>
    </w:p>
    <w:p w14:paraId="515903BB" w14:textId="77777777" w:rsidR="00D23C11" w:rsidRPr="0048382E" w:rsidRDefault="00000000">
      <w:pPr>
        <w:rPr>
          <w:rFonts w:ascii="Verdana" w:hAnsi="Verdana"/>
          <w:sz w:val="18"/>
          <w:szCs w:val="18"/>
          <w:lang w:val="en-US"/>
        </w:rPr>
      </w:pPr>
      <w:r w:rsidRPr="0048382E">
        <w:rPr>
          <w:rFonts w:ascii="Verdana" w:hAnsi="Verdana"/>
          <w:sz w:val="18"/>
          <w:szCs w:val="18"/>
          <w:lang w:val="en-US"/>
        </w:rPr>
        <w:t xml:space="preserve">Monitoring </w:t>
      </w:r>
      <w:r w:rsidR="00DD7351" w:rsidRPr="0048382E">
        <w:rPr>
          <w:rFonts w:ascii="Verdana" w:hAnsi="Verdana"/>
          <w:sz w:val="18"/>
          <w:szCs w:val="18"/>
          <w:lang w:val="en-US"/>
        </w:rPr>
        <w:t xml:space="preserve">and retracing </w:t>
      </w:r>
      <w:r w:rsidRPr="0048382E">
        <w:rPr>
          <w:rFonts w:ascii="Verdana" w:hAnsi="Verdana"/>
          <w:sz w:val="18"/>
          <w:szCs w:val="18"/>
          <w:lang w:val="en-US"/>
        </w:rPr>
        <w:t>of identity</w:t>
      </w:r>
      <w:r w:rsidR="00DD7351" w:rsidRPr="0048382E">
        <w:rPr>
          <w:rFonts w:ascii="Verdana" w:hAnsi="Verdana"/>
          <w:sz w:val="18"/>
          <w:szCs w:val="18"/>
          <w:lang w:val="en-US"/>
        </w:rPr>
        <w:t xml:space="preserve">, </w:t>
      </w:r>
      <w:r w:rsidR="007C36B2" w:rsidRPr="0048382E">
        <w:rPr>
          <w:rFonts w:ascii="Verdana" w:hAnsi="Verdana"/>
          <w:sz w:val="18"/>
          <w:szCs w:val="18"/>
          <w:lang w:val="en-US"/>
        </w:rPr>
        <w:t xml:space="preserve">status </w:t>
      </w:r>
      <w:r w:rsidR="00DD7351" w:rsidRPr="0048382E">
        <w:rPr>
          <w:rFonts w:ascii="Verdana" w:hAnsi="Verdana"/>
          <w:sz w:val="18"/>
          <w:szCs w:val="18"/>
          <w:lang w:val="en-US"/>
        </w:rPr>
        <w:t xml:space="preserve">and location </w:t>
      </w:r>
      <w:r w:rsidR="007C36B2" w:rsidRPr="0048382E">
        <w:rPr>
          <w:rFonts w:ascii="Verdana" w:hAnsi="Verdana"/>
          <w:sz w:val="18"/>
          <w:szCs w:val="18"/>
          <w:lang w:val="en-US"/>
        </w:rPr>
        <w:t xml:space="preserve">of </w:t>
      </w:r>
      <w:r w:rsidR="00EB7E54" w:rsidRPr="0048382E">
        <w:rPr>
          <w:rFonts w:ascii="Verdana" w:hAnsi="Verdana"/>
          <w:sz w:val="18"/>
          <w:szCs w:val="18"/>
          <w:lang w:val="en-US"/>
        </w:rPr>
        <w:t>seed material</w:t>
      </w:r>
      <w:r w:rsidR="009A6D76" w:rsidRPr="0048382E">
        <w:rPr>
          <w:rFonts w:ascii="Verdana" w:hAnsi="Verdana"/>
          <w:sz w:val="18"/>
          <w:szCs w:val="18"/>
          <w:lang w:val="en-US"/>
        </w:rPr>
        <w:t>.</w:t>
      </w:r>
    </w:p>
    <w:p w14:paraId="5EF1090E" w14:textId="77777777" w:rsidR="00DC47F8" w:rsidRPr="0048382E" w:rsidRDefault="00DC47F8" w:rsidP="00646287">
      <w:pPr>
        <w:rPr>
          <w:rFonts w:ascii="Verdana" w:hAnsi="Verdana"/>
          <w:sz w:val="18"/>
          <w:szCs w:val="18"/>
          <w:lang w:val="en-US"/>
        </w:rPr>
      </w:pPr>
    </w:p>
    <w:p w14:paraId="5FF53C0B" w14:textId="77777777" w:rsidR="00D23C11" w:rsidRPr="0048382E" w:rsidRDefault="00000000">
      <w:pPr>
        <w:rPr>
          <w:rFonts w:ascii="Verdana" w:hAnsi="Verdana"/>
          <w:b/>
          <w:sz w:val="18"/>
          <w:szCs w:val="18"/>
          <w:lang w:val="en-US"/>
        </w:rPr>
      </w:pPr>
      <w:r w:rsidRPr="0048382E">
        <w:rPr>
          <w:rFonts w:ascii="Verdana" w:hAnsi="Verdana"/>
          <w:b/>
          <w:sz w:val="18"/>
          <w:szCs w:val="18"/>
          <w:lang w:val="en-US"/>
        </w:rPr>
        <w:t>Coding of seed material</w:t>
      </w:r>
    </w:p>
    <w:p w14:paraId="5E0D69A8" w14:textId="0A6D44AC" w:rsidR="00D23C11" w:rsidRDefault="00000000">
      <w:pPr>
        <w:rPr>
          <w:rFonts w:ascii="Verdana" w:hAnsi="Verdana"/>
          <w:sz w:val="18"/>
          <w:szCs w:val="18"/>
          <w:lang w:val="en-US"/>
        </w:rPr>
      </w:pPr>
      <w:r w:rsidRPr="0048382E">
        <w:rPr>
          <w:rFonts w:ascii="Verdana" w:hAnsi="Verdana"/>
          <w:sz w:val="18"/>
          <w:szCs w:val="18"/>
          <w:lang w:val="en-US"/>
        </w:rPr>
        <w:t xml:space="preserve">The seed material is kept in </w:t>
      </w:r>
      <w:r w:rsidR="00EE5C3C" w:rsidRPr="0048382E">
        <w:rPr>
          <w:rFonts w:ascii="Verdana" w:hAnsi="Verdana"/>
          <w:sz w:val="18"/>
          <w:szCs w:val="18"/>
          <w:lang w:val="en-US"/>
        </w:rPr>
        <w:t xml:space="preserve">individual seed bags in </w:t>
      </w:r>
      <w:r w:rsidRPr="0048382E">
        <w:rPr>
          <w:rFonts w:ascii="Verdana" w:hAnsi="Verdana"/>
          <w:sz w:val="18"/>
          <w:szCs w:val="18"/>
          <w:lang w:val="en-US"/>
        </w:rPr>
        <w:t xml:space="preserve">crates, to which </w:t>
      </w:r>
      <w:proofErr w:type="spellStart"/>
      <w:r w:rsidRPr="0048382E">
        <w:rPr>
          <w:rFonts w:ascii="Verdana" w:hAnsi="Verdana"/>
          <w:sz w:val="18"/>
          <w:szCs w:val="18"/>
          <w:lang w:val="en-US"/>
        </w:rPr>
        <w:t>coloured</w:t>
      </w:r>
      <w:proofErr w:type="spellEnd"/>
      <w:r w:rsidRPr="0048382E">
        <w:rPr>
          <w:rFonts w:ascii="Verdana" w:hAnsi="Verdana"/>
          <w:sz w:val="18"/>
          <w:szCs w:val="18"/>
          <w:lang w:val="en-US"/>
        </w:rPr>
        <w:t xml:space="preserve"> labels are attached. The color of the label indicates the type of material and the process it is </w:t>
      </w:r>
      <w:r w:rsidR="00CF2939" w:rsidRPr="0048382E">
        <w:rPr>
          <w:rFonts w:ascii="Verdana" w:hAnsi="Verdana"/>
          <w:sz w:val="18"/>
          <w:szCs w:val="18"/>
          <w:lang w:val="en-US"/>
        </w:rPr>
        <w:t>in</w:t>
      </w:r>
      <w:r w:rsidR="00EE5C3C" w:rsidRPr="0048382E">
        <w:rPr>
          <w:rFonts w:ascii="Verdana" w:hAnsi="Verdana"/>
          <w:sz w:val="18"/>
          <w:szCs w:val="18"/>
          <w:lang w:val="en-US"/>
        </w:rPr>
        <w:t xml:space="preserve">. The text on the label gives more information about the contents of the crate. </w:t>
      </w:r>
      <w:r w:rsidR="0096185A" w:rsidRPr="0048382E">
        <w:rPr>
          <w:rFonts w:ascii="Verdana" w:hAnsi="Verdana"/>
          <w:sz w:val="18"/>
          <w:szCs w:val="18"/>
          <w:lang w:val="en-US"/>
        </w:rPr>
        <w:t xml:space="preserve">These labels are used in both drying rooms and freezers. </w:t>
      </w:r>
      <w:r w:rsidR="00846398" w:rsidRPr="0048382E">
        <w:rPr>
          <w:rFonts w:ascii="Verdana" w:hAnsi="Verdana"/>
          <w:sz w:val="18"/>
          <w:szCs w:val="18"/>
          <w:lang w:val="en-US"/>
        </w:rPr>
        <w:t>This makes it easy to distinguish the type and status of the seed material.</w:t>
      </w:r>
    </w:p>
    <w:p w14:paraId="50D85785" w14:textId="77777777" w:rsidR="00D341E5" w:rsidRPr="0048382E" w:rsidRDefault="00D341E5">
      <w:pPr>
        <w:rPr>
          <w:rFonts w:ascii="Verdana" w:hAnsi="Verdana"/>
          <w:sz w:val="18"/>
          <w:szCs w:val="18"/>
          <w:lang w:val="en-US"/>
        </w:rPr>
      </w:pPr>
    </w:p>
    <w:p w14:paraId="439B2EF1" w14:textId="53E5013F" w:rsidR="00D23C11" w:rsidRPr="0048382E" w:rsidRDefault="00000000">
      <w:pPr>
        <w:rPr>
          <w:rFonts w:ascii="Verdana" w:hAnsi="Verdana"/>
          <w:b/>
          <w:sz w:val="18"/>
          <w:szCs w:val="18"/>
          <w:lang w:val="en-US"/>
        </w:rPr>
      </w:pPr>
      <w:r w:rsidRPr="0048382E">
        <w:rPr>
          <w:rFonts w:ascii="Verdana" w:hAnsi="Verdana"/>
          <w:sz w:val="18"/>
          <w:szCs w:val="18"/>
          <w:lang w:val="en-US"/>
        </w:rPr>
        <w:t xml:space="preserve">The individual seed bags contain additional information about the contents, such as, for example, crop, ANR, RNR and/or year of </w:t>
      </w:r>
      <w:r w:rsidR="0048382E">
        <w:rPr>
          <w:rFonts w:ascii="Verdana" w:hAnsi="Verdana"/>
          <w:sz w:val="18"/>
          <w:szCs w:val="18"/>
          <w:lang w:val="en-US"/>
        </w:rPr>
        <w:t>multiplication</w:t>
      </w:r>
      <w:r w:rsidRPr="0048382E">
        <w:rPr>
          <w:rFonts w:ascii="Verdana" w:hAnsi="Verdana"/>
          <w:sz w:val="18"/>
          <w:szCs w:val="18"/>
          <w:lang w:val="en-US"/>
        </w:rPr>
        <w:t>.</w:t>
      </w:r>
      <w:r w:rsidR="00540759" w:rsidRPr="0048382E">
        <w:rPr>
          <w:rFonts w:ascii="Verdana" w:hAnsi="Verdana"/>
          <w:sz w:val="18"/>
          <w:szCs w:val="18"/>
          <w:lang w:val="en-US"/>
        </w:rPr>
        <w:br/>
      </w:r>
    </w:p>
    <w:p w14:paraId="3364B662" w14:textId="1CF02D4A" w:rsidR="00D23C11" w:rsidRPr="0048382E" w:rsidRDefault="00000000">
      <w:pPr>
        <w:rPr>
          <w:rFonts w:ascii="Verdana" w:hAnsi="Verdana"/>
          <w:sz w:val="18"/>
          <w:szCs w:val="18"/>
          <w:lang w:val="en-US"/>
        </w:rPr>
      </w:pPr>
      <w:r w:rsidRPr="0048382E">
        <w:rPr>
          <w:rFonts w:ascii="Verdana" w:hAnsi="Verdana"/>
          <w:sz w:val="18"/>
          <w:szCs w:val="18"/>
          <w:lang w:val="en-US"/>
        </w:rPr>
        <w:t xml:space="preserve">Below is a brief overview of the color labels </w:t>
      </w:r>
      <w:r w:rsidR="00846398" w:rsidRPr="0048382E">
        <w:rPr>
          <w:rFonts w:ascii="Verdana" w:hAnsi="Verdana"/>
          <w:sz w:val="18"/>
          <w:szCs w:val="18"/>
          <w:lang w:val="en-US"/>
        </w:rPr>
        <w:t>attached to the crates</w:t>
      </w:r>
      <w:r w:rsidRPr="0048382E">
        <w:rPr>
          <w:rFonts w:ascii="Verdana" w:hAnsi="Verdana"/>
          <w:sz w:val="18"/>
          <w:szCs w:val="18"/>
          <w:lang w:val="en-US"/>
        </w:rPr>
        <w:t xml:space="preserve">. </w:t>
      </w:r>
    </w:p>
    <w:p w14:paraId="39B5977B" w14:textId="7FA0C09D" w:rsidR="00D23C11" w:rsidRPr="0048382E" w:rsidRDefault="0019397B">
      <w:pPr>
        <w:rPr>
          <w:rFonts w:ascii="Verdana" w:hAnsi="Verdana"/>
          <w:sz w:val="18"/>
          <w:szCs w:val="18"/>
          <w:lang w:val="en-US"/>
        </w:rPr>
      </w:pPr>
      <w:r w:rsidRPr="0048382E">
        <w:rPr>
          <w:rFonts w:ascii="Verdana" w:hAnsi="Verdana"/>
          <w:sz w:val="18"/>
          <w:szCs w:val="18"/>
          <w:lang w:val="en-US"/>
        </w:rPr>
        <w:t>Pink</w:t>
      </w:r>
      <w:r w:rsidRPr="0048382E">
        <w:rPr>
          <w:rFonts w:ascii="Verdana" w:hAnsi="Verdana"/>
          <w:sz w:val="18"/>
          <w:szCs w:val="18"/>
          <w:lang w:val="en-US"/>
        </w:rPr>
        <w:tab/>
      </w:r>
      <w:r w:rsidR="0096185A" w:rsidRPr="0048382E">
        <w:rPr>
          <w:rFonts w:ascii="Verdana" w:hAnsi="Verdana"/>
          <w:sz w:val="18"/>
          <w:szCs w:val="18"/>
          <w:lang w:val="en-US"/>
        </w:rPr>
        <w:tab/>
      </w:r>
      <w:r w:rsidRPr="0048382E">
        <w:rPr>
          <w:rFonts w:ascii="Verdana" w:hAnsi="Verdana"/>
          <w:sz w:val="18"/>
          <w:szCs w:val="18"/>
          <w:lang w:val="en-US"/>
        </w:rPr>
        <w:t xml:space="preserve">New material from acquisition, </w:t>
      </w:r>
      <w:r w:rsidR="00693646" w:rsidRPr="0048382E">
        <w:rPr>
          <w:rFonts w:ascii="Verdana" w:hAnsi="Verdana"/>
          <w:sz w:val="18"/>
          <w:szCs w:val="18"/>
          <w:lang w:val="en-US"/>
        </w:rPr>
        <w:t>awaiting curatorial decision</w:t>
      </w:r>
      <w:r w:rsidRPr="0048382E">
        <w:rPr>
          <w:rFonts w:ascii="Verdana" w:hAnsi="Verdana"/>
          <w:sz w:val="18"/>
          <w:szCs w:val="18"/>
          <w:lang w:val="en-US"/>
        </w:rPr>
        <w:br/>
      </w:r>
      <w:r w:rsidR="005C29A3" w:rsidRPr="0048382E">
        <w:rPr>
          <w:rFonts w:ascii="Verdana" w:hAnsi="Verdana"/>
          <w:sz w:val="18"/>
          <w:szCs w:val="18"/>
          <w:lang w:val="en-US"/>
        </w:rPr>
        <w:t>Yellow</w:t>
      </w:r>
      <w:r w:rsidR="005C29A3" w:rsidRPr="0048382E">
        <w:rPr>
          <w:rFonts w:ascii="Verdana" w:hAnsi="Verdana"/>
          <w:sz w:val="18"/>
          <w:szCs w:val="18"/>
          <w:lang w:val="en-US"/>
        </w:rPr>
        <w:tab/>
      </w:r>
      <w:r w:rsidR="0096185A" w:rsidRPr="0048382E">
        <w:rPr>
          <w:rFonts w:ascii="Verdana" w:hAnsi="Verdana"/>
          <w:sz w:val="18"/>
          <w:szCs w:val="18"/>
          <w:lang w:val="en-US"/>
        </w:rPr>
        <w:tab/>
      </w:r>
      <w:r w:rsidR="0068213C" w:rsidRPr="0048382E">
        <w:rPr>
          <w:rFonts w:ascii="Verdana" w:hAnsi="Verdana"/>
          <w:sz w:val="18"/>
          <w:szCs w:val="18"/>
          <w:lang w:val="en-US"/>
        </w:rPr>
        <w:t xml:space="preserve">Material </w:t>
      </w:r>
      <w:r w:rsidR="005C29A3" w:rsidRPr="0048382E">
        <w:rPr>
          <w:rFonts w:ascii="Verdana" w:hAnsi="Verdana"/>
          <w:sz w:val="18"/>
          <w:szCs w:val="18"/>
          <w:lang w:val="en-US"/>
        </w:rPr>
        <w:t xml:space="preserve">awaiting </w:t>
      </w:r>
      <w:r w:rsidR="0048382E">
        <w:rPr>
          <w:rFonts w:ascii="Verdana" w:hAnsi="Verdana"/>
          <w:sz w:val="18"/>
          <w:szCs w:val="18"/>
          <w:lang w:val="en-US"/>
        </w:rPr>
        <w:t>multiplication</w:t>
      </w:r>
      <w:r w:rsidR="00000000" w:rsidRPr="0048382E">
        <w:rPr>
          <w:rFonts w:ascii="Verdana" w:hAnsi="Verdana"/>
          <w:sz w:val="18"/>
          <w:szCs w:val="18"/>
          <w:lang w:val="en-US"/>
        </w:rPr>
        <w:br/>
      </w:r>
      <w:r w:rsidR="005C29A3" w:rsidRPr="0048382E">
        <w:rPr>
          <w:rFonts w:ascii="Verdana" w:hAnsi="Verdana"/>
          <w:sz w:val="18"/>
          <w:szCs w:val="18"/>
          <w:lang w:val="en-US"/>
        </w:rPr>
        <w:t>Blue</w:t>
      </w:r>
      <w:r w:rsidR="005C29A3" w:rsidRPr="0048382E">
        <w:rPr>
          <w:rFonts w:ascii="Verdana" w:hAnsi="Verdana"/>
          <w:sz w:val="18"/>
          <w:szCs w:val="18"/>
          <w:lang w:val="en-US"/>
        </w:rPr>
        <w:tab/>
      </w:r>
      <w:r w:rsidR="0096185A" w:rsidRPr="0048382E">
        <w:rPr>
          <w:rFonts w:ascii="Verdana" w:hAnsi="Verdana"/>
          <w:sz w:val="18"/>
          <w:szCs w:val="18"/>
          <w:lang w:val="en-US"/>
        </w:rPr>
        <w:tab/>
      </w:r>
      <w:r w:rsidR="0068213C" w:rsidRPr="0048382E">
        <w:rPr>
          <w:rFonts w:ascii="Verdana" w:hAnsi="Verdana"/>
          <w:sz w:val="18"/>
          <w:szCs w:val="18"/>
          <w:lang w:val="en-US"/>
        </w:rPr>
        <w:t xml:space="preserve">Material awaiting </w:t>
      </w:r>
      <w:r w:rsidR="005C29A3" w:rsidRPr="0048382E">
        <w:rPr>
          <w:rFonts w:ascii="Verdana" w:hAnsi="Verdana"/>
          <w:sz w:val="18"/>
          <w:szCs w:val="18"/>
          <w:lang w:val="en-US"/>
        </w:rPr>
        <w:t xml:space="preserve">determination of </w:t>
      </w:r>
      <w:r w:rsidR="00693646" w:rsidRPr="0048382E">
        <w:rPr>
          <w:rFonts w:ascii="Verdana" w:hAnsi="Verdana"/>
          <w:sz w:val="18"/>
          <w:szCs w:val="18"/>
          <w:lang w:val="en-US"/>
        </w:rPr>
        <w:t>quantity/germination/absorption</w:t>
      </w:r>
      <w:r w:rsidR="00000000" w:rsidRPr="0048382E">
        <w:rPr>
          <w:rFonts w:ascii="Verdana" w:hAnsi="Verdana"/>
          <w:sz w:val="18"/>
          <w:szCs w:val="18"/>
          <w:lang w:val="en-US"/>
        </w:rPr>
        <w:br/>
      </w:r>
      <w:r w:rsidR="005C29A3" w:rsidRPr="0048382E">
        <w:rPr>
          <w:rFonts w:ascii="Verdana" w:hAnsi="Verdana"/>
          <w:sz w:val="18"/>
          <w:szCs w:val="18"/>
          <w:lang w:val="en-US"/>
        </w:rPr>
        <w:t>Green</w:t>
      </w:r>
      <w:r w:rsidR="005C29A3" w:rsidRPr="0048382E">
        <w:rPr>
          <w:rFonts w:ascii="Verdana" w:hAnsi="Verdana"/>
          <w:sz w:val="18"/>
          <w:szCs w:val="18"/>
          <w:lang w:val="en-US"/>
        </w:rPr>
        <w:tab/>
      </w:r>
      <w:r w:rsidR="0096185A" w:rsidRPr="0048382E">
        <w:rPr>
          <w:rFonts w:ascii="Verdana" w:hAnsi="Verdana"/>
          <w:sz w:val="18"/>
          <w:szCs w:val="18"/>
          <w:lang w:val="en-US"/>
        </w:rPr>
        <w:tab/>
      </w:r>
      <w:r w:rsidR="0068213C" w:rsidRPr="0048382E">
        <w:rPr>
          <w:rFonts w:ascii="Verdana" w:hAnsi="Verdana"/>
          <w:sz w:val="18"/>
          <w:szCs w:val="18"/>
          <w:lang w:val="en-US"/>
        </w:rPr>
        <w:t xml:space="preserve">Material </w:t>
      </w:r>
      <w:r w:rsidR="002E3A6B" w:rsidRPr="0048382E">
        <w:rPr>
          <w:rFonts w:ascii="Verdana" w:hAnsi="Verdana"/>
          <w:sz w:val="18"/>
          <w:szCs w:val="18"/>
          <w:lang w:val="en-US"/>
        </w:rPr>
        <w:t xml:space="preserve">in the process of </w:t>
      </w:r>
      <w:r w:rsidR="005C29A3" w:rsidRPr="0048382E">
        <w:rPr>
          <w:rFonts w:ascii="Verdana" w:hAnsi="Verdana"/>
          <w:sz w:val="18"/>
          <w:szCs w:val="18"/>
          <w:lang w:val="en-US"/>
        </w:rPr>
        <w:t>absorption</w:t>
      </w:r>
      <w:r w:rsidR="00000000" w:rsidRPr="0048382E">
        <w:rPr>
          <w:rFonts w:ascii="Verdana" w:hAnsi="Verdana"/>
          <w:sz w:val="18"/>
          <w:szCs w:val="18"/>
          <w:lang w:val="en-US"/>
        </w:rPr>
        <w:br/>
      </w:r>
      <w:r w:rsidR="005C29A3" w:rsidRPr="0048382E">
        <w:rPr>
          <w:rFonts w:ascii="Verdana" w:hAnsi="Verdana"/>
          <w:sz w:val="18"/>
          <w:szCs w:val="18"/>
          <w:lang w:val="en-US"/>
        </w:rPr>
        <w:t>White</w:t>
      </w:r>
      <w:r w:rsidR="005C29A3" w:rsidRPr="0048382E">
        <w:rPr>
          <w:rFonts w:ascii="Verdana" w:hAnsi="Verdana"/>
          <w:sz w:val="18"/>
          <w:szCs w:val="18"/>
          <w:lang w:val="en-US"/>
        </w:rPr>
        <w:tab/>
      </w:r>
      <w:r w:rsidR="0096185A" w:rsidRPr="0048382E">
        <w:rPr>
          <w:rFonts w:ascii="Verdana" w:hAnsi="Verdana"/>
          <w:sz w:val="18"/>
          <w:szCs w:val="18"/>
          <w:lang w:val="en-US"/>
        </w:rPr>
        <w:tab/>
      </w:r>
      <w:r w:rsidR="002E3A6B" w:rsidRPr="0048382E">
        <w:rPr>
          <w:rFonts w:ascii="Verdana" w:hAnsi="Verdana"/>
          <w:sz w:val="18"/>
          <w:szCs w:val="18"/>
          <w:lang w:val="en-US"/>
        </w:rPr>
        <w:t xml:space="preserve">All accepted </w:t>
      </w:r>
      <w:r w:rsidR="0068213C" w:rsidRPr="0048382E">
        <w:rPr>
          <w:rFonts w:ascii="Verdana" w:hAnsi="Verdana"/>
          <w:sz w:val="18"/>
          <w:szCs w:val="18"/>
          <w:lang w:val="en-US"/>
        </w:rPr>
        <w:t xml:space="preserve">material </w:t>
      </w:r>
      <w:r w:rsidR="004820BE" w:rsidRPr="0048382E">
        <w:rPr>
          <w:rFonts w:ascii="Verdana" w:hAnsi="Verdana"/>
          <w:sz w:val="18"/>
          <w:szCs w:val="18"/>
          <w:lang w:val="en-US"/>
        </w:rPr>
        <w:t xml:space="preserve">(material </w:t>
      </w:r>
      <w:r w:rsidR="005C29A3" w:rsidRPr="0048382E">
        <w:rPr>
          <w:rFonts w:ascii="Verdana" w:hAnsi="Verdana"/>
          <w:sz w:val="18"/>
          <w:szCs w:val="18"/>
          <w:lang w:val="en-US"/>
        </w:rPr>
        <w:t>with 'accessed' status</w:t>
      </w:r>
      <w:r w:rsidR="004820BE" w:rsidRPr="0048382E">
        <w:rPr>
          <w:rFonts w:ascii="Verdana" w:hAnsi="Verdana"/>
          <w:sz w:val="18"/>
          <w:szCs w:val="18"/>
          <w:lang w:val="en-US"/>
        </w:rPr>
        <w:t xml:space="preserve">) </w:t>
      </w:r>
      <w:r w:rsidRPr="0048382E">
        <w:rPr>
          <w:rFonts w:ascii="Verdana" w:hAnsi="Verdana"/>
          <w:sz w:val="18"/>
          <w:szCs w:val="18"/>
          <w:lang w:val="en-US"/>
        </w:rPr>
        <w:br/>
        <w:t>Red</w:t>
      </w:r>
      <w:r w:rsidRPr="0048382E">
        <w:rPr>
          <w:rFonts w:ascii="Verdana" w:hAnsi="Verdana"/>
          <w:sz w:val="18"/>
          <w:szCs w:val="18"/>
          <w:lang w:val="en-US"/>
        </w:rPr>
        <w:tab/>
      </w:r>
      <w:r w:rsidR="0096185A" w:rsidRPr="0048382E">
        <w:rPr>
          <w:rFonts w:ascii="Verdana" w:hAnsi="Verdana"/>
          <w:sz w:val="18"/>
          <w:szCs w:val="18"/>
          <w:lang w:val="en-US"/>
        </w:rPr>
        <w:tab/>
      </w:r>
      <w:r w:rsidRPr="0048382E">
        <w:rPr>
          <w:rFonts w:ascii="Verdana" w:hAnsi="Verdana"/>
          <w:sz w:val="18"/>
          <w:szCs w:val="18"/>
          <w:lang w:val="en-US"/>
        </w:rPr>
        <w:t xml:space="preserve">Deviant material </w:t>
      </w:r>
      <w:r w:rsidRPr="0048382E">
        <w:rPr>
          <w:rFonts w:ascii="Verdana" w:hAnsi="Verdana"/>
          <w:sz w:val="18"/>
          <w:szCs w:val="18"/>
          <w:lang w:val="en-US"/>
        </w:rPr>
        <w:br/>
        <w:t>Orange</w:t>
      </w:r>
      <w:r w:rsidRPr="0048382E">
        <w:rPr>
          <w:rFonts w:ascii="Verdana" w:hAnsi="Verdana"/>
          <w:sz w:val="18"/>
          <w:szCs w:val="18"/>
          <w:lang w:val="en-US"/>
        </w:rPr>
        <w:tab/>
      </w:r>
      <w:r w:rsidR="0096185A" w:rsidRPr="0048382E">
        <w:rPr>
          <w:rFonts w:ascii="Verdana" w:hAnsi="Verdana"/>
          <w:sz w:val="18"/>
          <w:szCs w:val="18"/>
          <w:lang w:val="en-US"/>
        </w:rPr>
        <w:tab/>
      </w:r>
      <w:r w:rsidRPr="0048382E">
        <w:rPr>
          <w:rFonts w:ascii="Verdana" w:hAnsi="Verdana"/>
          <w:sz w:val="18"/>
          <w:szCs w:val="18"/>
          <w:lang w:val="en-US"/>
        </w:rPr>
        <w:t>Third-party material</w:t>
      </w:r>
      <w:r w:rsidR="00693646" w:rsidRPr="0048382E">
        <w:rPr>
          <w:rFonts w:ascii="Verdana" w:hAnsi="Verdana"/>
          <w:sz w:val="18"/>
          <w:szCs w:val="18"/>
          <w:lang w:val="en-US"/>
        </w:rPr>
        <w:t xml:space="preserve">, </w:t>
      </w:r>
      <w:r w:rsidRPr="0048382E">
        <w:rPr>
          <w:rFonts w:ascii="Verdana" w:hAnsi="Verdana"/>
          <w:sz w:val="18"/>
          <w:szCs w:val="18"/>
          <w:lang w:val="en-US"/>
        </w:rPr>
        <w:t xml:space="preserve">Special collections </w:t>
      </w:r>
      <w:r w:rsidR="00693646" w:rsidRPr="0048382E">
        <w:rPr>
          <w:rFonts w:ascii="Verdana" w:hAnsi="Verdana"/>
          <w:sz w:val="18"/>
          <w:szCs w:val="18"/>
          <w:lang w:val="en-US"/>
        </w:rPr>
        <w:t>and material under embargo</w:t>
      </w:r>
    </w:p>
    <w:p w14:paraId="06812746" w14:textId="77777777" w:rsidR="00540759" w:rsidRPr="0048382E" w:rsidRDefault="00540759" w:rsidP="00EE5C3C">
      <w:pPr>
        <w:rPr>
          <w:rFonts w:ascii="Verdana" w:hAnsi="Verdana"/>
          <w:sz w:val="18"/>
          <w:szCs w:val="18"/>
          <w:lang w:val="en-US"/>
        </w:rPr>
      </w:pPr>
    </w:p>
    <w:p w14:paraId="23CC56E3" w14:textId="77777777" w:rsidR="00D23C11" w:rsidRPr="0048382E" w:rsidRDefault="00000000">
      <w:pPr>
        <w:rPr>
          <w:rFonts w:ascii="Verdana" w:hAnsi="Verdana"/>
          <w:sz w:val="18"/>
          <w:szCs w:val="18"/>
          <w:lang w:val="en-US"/>
        </w:rPr>
      </w:pPr>
      <w:r w:rsidRPr="0048382E">
        <w:rPr>
          <w:rFonts w:ascii="Verdana" w:hAnsi="Verdana"/>
          <w:sz w:val="18"/>
          <w:szCs w:val="18"/>
          <w:lang w:val="en-US"/>
        </w:rPr>
        <w:t>In many cases, it is desirable to attach 2 labels to the crate. One with the batch number clearly legible on it, and one with additional information.</w:t>
      </w:r>
    </w:p>
    <w:p w14:paraId="712E0D9E" w14:textId="77777777" w:rsidR="00540759" w:rsidRPr="0048382E" w:rsidRDefault="00540759" w:rsidP="006014DB">
      <w:pPr>
        <w:rPr>
          <w:rFonts w:ascii="Verdana" w:hAnsi="Verdana"/>
          <w:b/>
          <w:sz w:val="18"/>
          <w:szCs w:val="18"/>
          <w:lang w:val="en-US"/>
        </w:rPr>
      </w:pPr>
    </w:p>
    <w:p w14:paraId="0ECD475C" w14:textId="77777777" w:rsidR="00D23C11" w:rsidRPr="0048382E" w:rsidRDefault="00000000">
      <w:pPr>
        <w:rPr>
          <w:rFonts w:ascii="Verdana" w:hAnsi="Verdana"/>
          <w:b/>
          <w:sz w:val="18"/>
          <w:szCs w:val="18"/>
          <w:lang w:val="en-US"/>
        </w:rPr>
      </w:pPr>
      <w:r w:rsidRPr="0048382E">
        <w:rPr>
          <w:rFonts w:ascii="Verdana" w:hAnsi="Verdana"/>
          <w:b/>
          <w:sz w:val="18"/>
          <w:szCs w:val="18"/>
          <w:lang w:val="en-US"/>
        </w:rPr>
        <w:t>Traceability</w:t>
      </w:r>
    </w:p>
    <w:p w14:paraId="30355E3E" w14:textId="45062934" w:rsidR="00AA0074" w:rsidRDefault="00000000">
      <w:pPr>
        <w:rPr>
          <w:rFonts w:ascii="Verdana" w:hAnsi="Verdana"/>
          <w:sz w:val="18"/>
          <w:szCs w:val="18"/>
          <w:lang w:val="en-US"/>
        </w:rPr>
      </w:pPr>
      <w:r w:rsidRPr="0048382E">
        <w:rPr>
          <w:rFonts w:ascii="Verdana" w:hAnsi="Verdana"/>
          <w:sz w:val="18"/>
          <w:szCs w:val="18"/>
          <w:lang w:val="en-US"/>
        </w:rPr>
        <w:t xml:space="preserve">All recorded seed material is registered in GENIS. Besides information on the seed lots themselves (such as passport information and information on seed quantities and </w:t>
      </w:r>
      <w:r w:rsidR="0048382E">
        <w:rPr>
          <w:rFonts w:ascii="Verdana" w:hAnsi="Verdana"/>
          <w:sz w:val="18"/>
          <w:szCs w:val="18"/>
          <w:lang w:val="en-US"/>
        </w:rPr>
        <w:t>multiplication</w:t>
      </w:r>
      <w:r w:rsidRPr="0048382E">
        <w:rPr>
          <w:rFonts w:ascii="Verdana" w:hAnsi="Verdana"/>
          <w:sz w:val="18"/>
          <w:szCs w:val="18"/>
          <w:lang w:val="en-US"/>
        </w:rPr>
        <w:t xml:space="preserve">s), the location of the bags is also stored. For each seed bag, the number of the freezer, rack and bin is recorded. </w:t>
      </w:r>
      <w:r w:rsidR="00F73C74" w:rsidRPr="0048382E">
        <w:rPr>
          <w:rFonts w:ascii="Verdana" w:hAnsi="Verdana"/>
          <w:sz w:val="18"/>
          <w:szCs w:val="18"/>
          <w:lang w:val="en-US"/>
        </w:rPr>
        <w:t xml:space="preserve">All unabsorbed seed material stored in the freezer at -20°C, </w:t>
      </w:r>
      <w:r w:rsidR="00FB34B3" w:rsidRPr="0048382E">
        <w:rPr>
          <w:rFonts w:ascii="Verdana" w:hAnsi="Verdana"/>
          <w:sz w:val="18"/>
          <w:szCs w:val="18"/>
          <w:lang w:val="en-US"/>
        </w:rPr>
        <w:t xml:space="preserve">except for material with blue labels, is </w:t>
      </w:r>
      <w:r w:rsidR="00F73C74" w:rsidRPr="0048382E">
        <w:rPr>
          <w:rFonts w:ascii="Verdana" w:hAnsi="Verdana"/>
          <w:sz w:val="18"/>
          <w:szCs w:val="18"/>
          <w:lang w:val="en-US"/>
        </w:rPr>
        <w:t xml:space="preserve">stored under batch number. This batch number is on the colored label attached to the crate, and this number is </w:t>
      </w:r>
      <w:r w:rsidR="00FE4C7B" w:rsidRPr="0048382E">
        <w:rPr>
          <w:rFonts w:ascii="Verdana" w:hAnsi="Verdana"/>
          <w:sz w:val="18"/>
          <w:szCs w:val="18"/>
          <w:lang w:val="en-US"/>
        </w:rPr>
        <w:t xml:space="preserve">associated </w:t>
      </w:r>
      <w:r w:rsidR="00F73C74" w:rsidRPr="0048382E">
        <w:rPr>
          <w:rFonts w:ascii="Verdana" w:hAnsi="Verdana"/>
          <w:sz w:val="18"/>
          <w:szCs w:val="18"/>
          <w:lang w:val="en-US"/>
        </w:rPr>
        <w:t>with a location that can be looked up in GENIS.</w:t>
      </w:r>
      <w:r w:rsidR="00FB34B3" w:rsidRPr="0048382E">
        <w:rPr>
          <w:rFonts w:ascii="Verdana" w:hAnsi="Verdana"/>
          <w:sz w:val="18"/>
          <w:szCs w:val="18"/>
          <w:lang w:val="en-US"/>
        </w:rPr>
        <w:br/>
      </w:r>
    </w:p>
    <w:p w14:paraId="743749B1" w14:textId="0602B062" w:rsidR="00D23C11" w:rsidRPr="0048382E" w:rsidRDefault="00FB34B3">
      <w:pPr>
        <w:rPr>
          <w:rFonts w:ascii="Verdana" w:hAnsi="Verdana"/>
          <w:sz w:val="18"/>
          <w:szCs w:val="18"/>
          <w:lang w:val="en-US"/>
        </w:rPr>
      </w:pPr>
      <w:r w:rsidRPr="0048382E">
        <w:rPr>
          <w:rFonts w:ascii="Verdana" w:hAnsi="Verdana"/>
          <w:sz w:val="18"/>
          <w:szCs w:val="18"/>
          <w:lang w:val="en-US"/>
        </w:rPr>
        <w:t>Material with blue labels is stored in a fixed location in the freezer and is thus always easy to find.</w:t>
      </w:r>
    </w:p>
    <w:p w14:paraId="08131120" w14:textId="77777777" w:rsidR="000E42B9" w:rsidRPr="0048382E" w:rsidRDefault="000E42B9" w:rsidP="00E731AF">
      <w:pPr>
        <w:rPr>
          <w:rFonts w:ascii="Verdana" w:hAnsi="Verdana"/>
          <w:sz w:val="18"/>
          <w:szCs w:val="18"/>
          <w:lang w:val="en-US"/>
        </w:rPr>
      </w:pPr>
    </w:p>
    <w:p w14:paraId="5E84BBFC" w14:textId="77777777" w:rsidR="00D23C11" w:rsidRPr="0048382E" w:rsidRDefault="00000000">
      <w:pPr>
        <w:rPr>
          <w:rFonts w:ascii="Verdana" w:hAnsi="Verdana"/>
          <w:sz w:val="18"/>
          <w:szCs w:val="18"/>
          <w:lang w:val="en-US"/>
        </w:rPr>
      </w:pPr>
      <w:r w:rsidRPr="0048382E">
        <w:rPr>
          <w:rFonts w:ascii="Verdana" w:hAnsi="Verdana"/>
          <w:sz w:val="18"/>
          <w:szCs w:val="18"/>
          <w:lang w:val="en-US"/>
        </w:rPr>
        <w:t xml:space="preserve">For a comprehensive overview of exactly what is covered by which label, how labels and individual seed bags are coded, and where this information is recorded, see </w:t>
      </w:r>
      <w:r w:rsidR="00357903" w:rsidRPr="0048382E">
        <w:rPr>
          <w:rFonts w:ascii="Verdana" w:hAnsi="Verdana"/>
          <w:sz w:val="18"/>
          <w:szCs w:val="18"/>
          <w:lang w:val="en-US"/>
        </w:rPr>
        <w:t>OVZ-CGN-PG-002.</w:t>
      </w:r>
    </w:p>
    <w:p w14:paraId="252C97B4" w14:textId="77777777" w:rsidR="00A060B5" w:rsidRPr="0048382E" w:rsidRDefault="00A060B5" w:rsidP="00646287">
      <w:pPr>
        <w:rPr>
          <w:rFonts w:ascii="Verdana" w:hAnsi="Verdana"/>
          <w:sz w:val="18"/>
          <w:szCs w:val="18"/>
          <w:lang w:val="en-US"/>
        </w:rPr>
      </w:pPr>
    </w:p>
    <w:p w14:paraId="3AC4901C" w14:textId="77777777" w:rsidR="00D23C11" w:rsidRPr="0048382E" w:rsidRDefault="00000000">
      <w:pPr>
        <w:rPr>
          <w:rFonts w:ascii="Verdana" w:hAnsi="Verdana"/>
          <w:b/>
          <w:sz w:val="18"/>
          <w:szCs w:val="18"/>
          <w:lang w:val="en-US"/>
        </w:rPr>
      </w:pPr>
      <w:bookmarkStart w:id="0" w:name="_Hlk164871429"/>
      <w:r w:rsidRPr="0048382E">
        <w:rPr>
          <w:rFonts w:ascii="Verdana" w:hAnsi="Verdana"/>
          <w:b/>
          <w:sz w:val="18"/>
          <w:szCs w:val="18"/>
          <w:lang w:val="en-US"/>
        </w:rPr>
        <w:t>Storage and coding of DNA material</w:t>
      </w:r>
    </w:p>
    <w:p w14:paraId="1B280F2D" w14:textId="77777777" w:rsidR="00A147C3" w:rsidRDefault="00000000">
      <w:pPr>
        <w:rPr>
          <w:rFonts w:ascii="Verdana" w:hAnsi="Verdana"/>
          <w:sz w:val="18"/>
          <w:szCs w:val="18"/>
          <w:lang w:val="en-US"/>
        </w:rPr>
      </w:pPr>
      <w:r w:rsidRPr="0048382E">
        <w:rPr>
          <w:rFonts w:ascii="Verdana" w:hAnsi="Verdana"/>
          <w:sz w:val="18"/>
          <w:szCs w:val="18"/>
          <w:lang w:val="en-US"/>
        </w:rPr>
        <w:t>DNA material from projects in which the CGN is (has been) involved have been stored since 2001 for possible future use, aimed at obtaining more information about the CGN's collections. In order to expand the DNA collection faster, when requests for seed samples where it is clear that they will be used for DNA research, the relevant curator consults with the applicant to make the remaining DNA available to the CGN. If the applicant has agreed to this, a protocol for supplying DNA with the seed material is sent by the curator (see PRT-CGN-PG-401 Protocol DNA samples).</w:t>
      </w:r>
    </w:p>
    <w:p w14:paraId="6C18D258" w14:textId="77777777" w:rsidR="00A147C3" w:rsidRDefault="00A147C3">
      <w:pPr>
        <w:rPr>
          <w:rFonts w:ascii="Verdana" w:hAnsi="Verdana"/>
          <w:sz w:val="18"/>
          <w:szCs w:val="18"/>
          <w:lang w:val="en-US"/>
        </w:rPr>
      </w:pPr>
    </w:p>
    <w:p w14:paraId="2955A027" w14:textId="6ADAEF3C" w:rsidR="00D23C11" w:rsidRPr="0048382E" w:rsidRDefault="00000000">
      <w:pPr>
        <w:rPr>
          <w:rFonts w:ascii="Verdana" w:hAnsi="Verdana"/>
          <w:sz w:val="18"/>
          <w:szCs w:val="18"/>
          <w:lang w:val="en-US"/>
        </w:rPr>
      </w:pPr>
      <w:r w:rsidRPr="0048382E">
        <w:rPr>
          <w:rFonts w:ascii="Verdana" w:hAnsi="Verdana"/>
          <w:sz w:val="18"/>
          <w:szCs w:val="18"/>
          <w:lang w:val="en-US"/>
        </w:rPr>
        <w:t>Eppendorf tubes or microtiter plates containing DNA material are stored in coded boxes at -20°C in the genebank freezer facility. Each DNA sample is documented in an electronic data file with storage location and other relevant information such as identification of the material (e.g. CGN number with generation number), extraction methods used, quantity and concentration of DNA. DNA storage, including its data management, is the responsibility of the researcher molecular marker applications.</w:t>
      </w:r>
    </w:p>
    <w:bookmarkEnd w:id="0"/>
    <w:p w14:paraId="54EDC93D" w14:textId="77777777" w:rsidR="003C0B2E" w:rsidRPr="0048382E" w:rsidRDefault="003C0B2E" w:rsidP="00664707">
      <w:pPr>
        <w:rPr>
          <w:rFonts w:ascii="Verdana" w:hAnsi="Verdana"/>
          <w:sz w:val="18"/>
          <w:szCs w:val="18"/>
          <w:lang w:val="en-US"/>
        </w:rPr>
      </w:pPr>
    </w:p>
    <w:p w14:paraId="414E1788" w14:textId="6F8C0E4C" w:rsidR="00D23C11" w:rsidRPr="0048382E" w:rsidRDefault="003C0B2E">
      <w:pPr>
        <w:rPr>
          <w:rFonts w:ascii="Verdana" w:hAnsi="Verdana"/>
          <w:b/>
          <w:sz w:val="18"/>
          <w:szCs w:val="18"/>
          <w:lang w:val="en-US"/>
        </w:rPr>
      </w:pPr>
      <w:r w:rsidRPr="0048382E">
        <w:rPr>
          <w:rFonts w:ascii="Verdana" w:hAnsi="Verdana"/>
          <w:b/>
          <w:sz w:val="18"/>
          <w:szCs w:val="18"/>
          <w:lang w:val="en-US"/>
        </w:rPr>
        <w:t>Devi</w:t>
      </w:r>
      <w:r w:rsidR="00A147C3">
        <w:rPr>
          <w:rFonts w:ascii="Verdana" w:hAnsi="Verdana"/>
          <w:b/>
          <w:sz w:val="18"/>
          <w:szCs w:val="18"/>
          <w:lang w:val="en-US"/>
        </w:rPr>
        <w:t>ating</w:t>
      </w:r>
      <w:r w:rsidRPr="0048382E">
        <w:rPr>
          <w:rFonts w:ascii="Verdana" w:hAnsi="Verdana"/>
          <w:b/>
          <w:sz w:val="18"/>
          <w:szCs w:val="18"/>
          <w:lang w:val="en-US"/>
        </w:rPr>
        <w:t xml:space="preserve"> seed material</w:t>
      </w:r>
    </w:p>
    <w:p w14:paraId="6BE9853C" w14:textId="77777777" w:rsidR="0063606A" w:rsidRPr="0048382E" w:rsidRDefault="0063606A" w:rsidP="00664707">
      <w:pPr>
        <w:rPr>
          <w:rFonts w:ascii="Verdana" w:hAnsi="Verdana"/>
          <w:b/>
          <w:sz w:val="18"/>
          <w:szCs w:val="18"/>
          <w:lang w:val="en-US"/>
        </w:rPr>
      </w:pPr>
    </w:p>
    <w:p w14:paraId="78A93DEA" w14:textId="2157939F" w:rsidR="00D23C11" w:rsidRPr="0048382E" w:rsidRDefault="00000000">
      <w:pPr>
        <w:rPr>
          <w:rFonts w:ascii="Verdana" w:hAnsi="Verdana"/>
          <w:sz w:val="18"/>
          <w:szCs w:val="18"/>
          <w:lang w:val="en-US"/>
        </w:rPr>
      </w:pPr>
      <w:r w:rsidRPr="0048382E">
        <w:rPr>
          <w:rFonts w:ascii="Verdana" w:hAnsi="Verdana"/>
          <w:sz w:val="18"/>
          <w:szCs w:val="18"/>
          <w:lang w:val="en-US"/>
        </w:rPr>
        <w:t xml:space="preserve">All types of </w:t>
      </w:r>
      <w:r w:rsidR="00A147C3">
        <w:rPr>
          <w:rFonts w:ascii="Verdana" w:hAnsi="Verdana"/>
          <w:sz w:val="18"/>
          <w:szCs w:val="18"/>
          <w:lang w:val="en-US"/>
        </w:rPr>
        <w:t>deviating</w:t>
      </w:r>
      <w:r w:rsidRPr="0048382E">
        <w:rPr>
          <w:rFonts w:ascii="Verdana" w:hAnsi="Verdana"/>
          <w:sz w:val="18"/>
          <w:szCs w:val="18"/>
          <w:lang w:val="en-US"/>
        </w:rPr>
        <w:t xml:space="preserve"> seed material are marked with a red label. Below is additional information on the different possible types of deviant material</w:t>
      </w:r>
    </w:p>
    <w:p w14:paraId="0FB9223D" w14:textId="77777777" w:rsidR="0063606A" w:rsidRPr="0048382E" w:rsidRDefault="0063606A" w:rsidP="0063606A">
      <w:pPr>
        <w:rPr>
          <w:rFonts w:ascii="Verdana" w:hAnsi="Verdana"/>
          <w:sz w:val="18"/>
          <w:szCs w:val="18"/>
          <w:lang w:val="en-US"/>
        </w:rPr>
      </w:pPr>
    </w:p>
    <w:p w14:paraId="4C6324BF" w14:textId="29E8337C" w:rsidR="00D23C11" w:rsidRPr="0048382E" w:rsidRDefault="00B80B77">
      <w:pPr>
        <w:pStyle w:val="ListParagraph"/>
        <w:numPr>
          <w:ilvl w:val="0"/>
          <w:numId w:val="17"/>
        </w:numPr>
        <w:rPr>
          <w:rFonts w:ascii="Verdana" w:hAnsi="Verdana"/>
          <w:sz w:val="18"/>
          <w:szCs w:val="18"/>
          <w:lang w:val="en-US"/>
        </w:rPr>
      </w:pPr>
      <w:r w:rsidRPr="0048382E">
        <w:rPr>
          <w:rFonts w:ascii="Verdana" w:hAnsi="Verdana"/>
          <w:sz w:val="18"/>
          <w:szCs w:val="18"/>
          <w:lang w:val="en-US"/>
        </w:rPr>
        <w:t>Original source material</w:t>
      </w:r>
      <w:r w:rsidR="004670CE" w:rsidRPr="0048382E">
        <w:rPr>
          <w:rFonts w:ascii="Verdana" w:hAnsi="Verdana"/>
          <w:sz w:val="18"/>
          <w:szCs w:val="18"/>
          <w:lang w:val="en-US"/>
        </w:rPr>
        <w:t xml:space="preserve">, </w:t>
      </w:r>
      <w:r w:rsidR="003F36ED" w:rsidRPr="0048382E">
        <w:rPr>
          <w:rFonts w:ascii="Verdana" w:hAnsi="Verdana"/>
          <w:sz w:val="18"/>
          <w:szCs w:val="18"/>
          <w:lang w:val="en-US"/>
        </w:rPr>
        <w:t xml:space="preserve">already used for </w:t>
      </w:r>
      <w:r w:rsidR="0048382E">
        <w:rPr>
          <w:rFonts w:ascii="Verdana" w:hAnsi="Verdana"/>
          <w:sz w:val="18"/>
          <w:szCs w:val="18"/>
          <w:lang w:val="en-US"/>
        </w:rPr>
        <w:t>multiplication</w:t>
      </w:r>
      <w:r w:rsidR="004670CE" w:rsidRPr="0048382E">
        <w:rPr>
          <w:rFonts w:ascii="Verdana" w:hAnsi="Verdana"/>
          <w:sz w:val="18"/>
          <w:szCs w:val="18"/>
          <w:lang w:val="en-US"/>
        </w:rPr>
        <w:t xml:space="preserve">, </w:t>
      </w:r>
      <w:r w:rsidR="00123EB9" w:rsidRPr="0048382E">
        <w:rPr>
          <w:rFonts w:ascii="Verdana" w:hAnsi="Verdana"/>
          <w:sz w:val="18"/>
          <w:szCs w:val="18"/>
          <w:lang w:val="en-US"/>
        </w:rPr>
        <w:t xml:space="preserve">is </w:t>
      </w:r>
      <w:r w:rsidR="00962F47" w:rsidRPr="0048382E">
        <w:rPr>
          <w:rFonts w:ascii="Verdana" w:hAnsi="Verdana"/>
          <w:sz w:val="18"/>
          <w:szCs w:val="18"/>
          <w:lang w:val="en-US"/>
        </w:rPr>
        <w:t>always kept</w:t>
      </w:r>
      <w:r w:rsidRPr="0048382E">
        <w:rPr>
          <w:rFonts w:ascii="Verdana" w:hAnsi="Verdana"/>
          <w:sz w:val="18"/>
          <w:szCs w:val="18"/>
          <w:lang w:val="en-US"/>
        </w:rPr>
        <w:t xml:space="preserve">. It </w:t>
      </w:r>
      <w:r w:rsidR="00962F47" w:rsidRPr="0048382E">
        <w:rPr>
          <w:rFonts w:ascii="Verdana" w:hAnsi="Verdana"/>
          <w:sz w:val="18"/>
          <w:szCs w:val="18"/>
          <w:lang w:val="en-US"/>
        </w:rPr>
        <w:t xml:space="preserve">can be used for subsequent </w:t>
      </w:r>
      <w:r w:rsidR="0048382E">
        <w:rPr>
          <w:rFonts w:ascii="Verdana" w:hAnsi="Verdana"/>
          <w:sz w:val="18"/>
          <w:szCs w:val="18"/>
          <w:lang w:val="en-US"/>
        </w:rPr>
        <w:t>multiplication</w:t>
      </w:r>
      <w:r w:rsidR="00962F47" w:rsidRPr="0048382E">
        <w:rPr>
          <w:rFonts w:ascii="Verdana" w:hAnsi="Verdana"/>
          <w:sz w:val="18"/>
          <w:szCs w:val="18"/>
          <w:lang w:val="en-US"/>
        </w:rPr>
        <w:t xml:space="preserve"> in case something went wrong with the previous </w:t>
      </w:r>
      <w:r w:rsidR="0048382E">
        <w:rPr>
          <w:rFonts w:ascii="Verdana" w:hAnsi="Verdana"/>
          <w:sz w:val="18"/>
          <w:szCs w:val="18"/>
          <w:lang w:val="en-US"/>
        </w:rPr>
        <w:t>multiplication</w:t>
      </w:r>
      <w:r w:rsidR="00962F47" w:rsidRPr="0048382E">
        <w:rPr>
          <w:rFonts w:ascii="Verdana" w:hAnsi="Verdana"/>
          <w:sz w:val="18"/>
          <w:szCs w:val="18"/>
          <w:lang w:val="en-US"/>
        </w:rPr>
        <w:t xml:space="preserve">. It can also be used </w:t>
      </w:r>
      <w:r w:rsidR="00123EB9" w:rsidRPr="0048382E">
        <w:rPr>
          <w:rFonts w:ascii="Verdana" w:hAnsi="Verdana"/>
          <w:sz w:val="18"/>
          <w:szCs w:val="18"/>
          <w:lang w:val="en-US"/>
        </w:rPr>
        <w:t xml:space="preserve">to </w:t>
      </w:r>
      <w:r w:rsidR="00962F47" w:rsidRPr="0048382E">
        <w:rPr>
          <w:rFonts w:ascii="Verdana" w:hAnsi="Verdana"/>
          <w:sz w:val="18"/>
          <w:szCs w:val="18"/>
          <w:lang w:val="en-US"/>
        </w:rPr>
        <w:t>identify the current material</w:t>
      </w:r>
      <w:r w:rsidR="004670CE" w:rsidRPr="0048382E">
        <w:rPr>
          <w:lang w:val="en-US"/>
        </w:rPr>
        <w:t xml:space="preserve">. </w:t>
      </w:r>
    </w:p>
    <w:p w14:paraId="1285A222" w14:textId="77777777" w:rsidR="00D23C11" w:rsidRPr="0048382E" w:rsidRDefault="00000000">
      <w:pPr>
        <w:pStyle w:val="ListParagraph"/>
        <w:numPr>
          <w:ilvl w:val="0"/>
          <w:numId w:val="17"/>
        </w:numPr>
        <w:rPr>
          <w:rFonts w:ascii="Verdana" w:hAnsi="Verdana"/>
          <w:sz w:val="18"/>
          <w:szCs w:val="18"/>
          <w:lang w:val="en-US"/>
        </w:rPr>
      </w:pPr>
      <w:r w:rsidRPr="0048382E">
        <w:rPr>
          <w:rFonts w:ascii="Verdana" w:hAnsi="Verdana"/>
          <w:sz w:val="18"/>
          <w:szCs w:val="18"/>
          <w:lang w:val="en-US"/>
        </w:rPr>
        <w:t>Source material with a low probability of future use, or material with archive status without ANR, will be retained as long as future use by CGN or others is not ruled out</w:t>
      </w:r>
      <w:r w:rsidR="004670CE" w:rsidRPr="0048382E">
        <w:rPr>
          <w:rFonts w:ascii="Verdana" w:hAnsi="Verdana"/>
          <w:sz w:val="18"/>
          <w:szCs w:val="18"/>
          <w:lang w:val="en-US"/>
        </w:rPr>
        <w:t>.</w:t>
      </w:r>
    </w:p>
    <w:p w14:paraId="2BA9B7A9" w14:textId="77777777" w:rsidR="00D23C11" w:rsidRPr="0048382E" w:rsidRDefault="00123EB9">
      <w:pPr>
        <w:pStyle w:val="ListParagraph"/>
        <w:numPr>
          <w:ilvl w:val="0"/>
          <w:numId w:val="17"/>
        </w:numPr>
        <w:rPr>
          <w:rFonts w:ascii="Verdana" w:hAnsi="Verdana"/>
          <w:sz w:val="18"/>
          <w:szCs w:val="18"/>
          <w:lang w:val="en-US"/>
        </w:rPr>
      </w:pPr>
      <w:r w:rsidRPr="0048382E">
        <w:rPr>
          <w:rFonts w:ascii="Verdana" w:hAnsi="Verdana"/>
          <w:sz w:val="18"/>
          <w:szCs w:val="18"/>
          <w:lang w:val="en-US"/>
        </w:rPr>
        <w:t>Archived material with ANR is always retained. A decision can always be made to restore it to the regular collection, see INS-CGN-PG-003.</w:t>
      </w:r>
    </w:p>
    <w:p w14:paraId="28F7A8E9" w14:textId="77777777" w:rsidR="00D23C11" w:rsidRPr="0048382E" w:rsidRDefault="00000000">
      <w:pPr>
        <w:pStyle w:val="ListParagraph"/>
        <w:numPr>
          <w:ilvl w:val="0"/>
          <w:numId w:val="17"/>
        </w:numPr>
        <w:rPr>
          <w:rFonts w:ascii="Verdana" w:hAnsi="Verdana"/>
          <w:sz w:val="18"/>
          <w:szCs w:val="18"/>
          <w:lang w:val="en-US"/>
        </w:rPr>
      </w:pPr>
      <w:r w:rsidRPr="0048382E">
        <w:rPr>
          <w:rFonts w:ascii="Verdana" w:hAnsi="Verdana"/>
          <w:sz w:val="18"/>
          <w:szCs w:val="18"/>
          <w:lang w:val="en-US"/>
        </w:rPr>
        <w:t>Seed too much for inclusion was included in the past as aberrant material. This is now no longer done</w:t>
      </w:r>
      <w:r w:rsidR="00FB34B3" w:rsidRPr="0048382E">
        <w:rPr>
          <w:rFonts w:ascii="Verdana" w:hAnsi="Verdana"/>
          <w:sz w:val="18"/>
          <w:szCs w:val="18"/>
          <w:lang w:val="en-US"/>
        </w:rPr>
        <w:t>, and discarded over time in consultation with the trustees</w:t>
      </w:r>
      <w:r w:rsidRPr="0048382E">
        <w:rPr>
          <w:rFonts w:ascii="Verdana" w:hAnsi="Verdana"/>
          <w:sz w:val="18"/>
          <w:szCs w:val="18"/>
          <w:lang w:val="en-US"/>
        </w:rPr>
        <w:t xml:space="preserve">. </w:t>
      </w:r>
    </w:p>
    <w:p w14:paraId="4017B64E" w14:textId="77777777" w:rsidR="00D23C11" w:rsidRPr="0048382E" w:rsidRDefault="00000000">
      <w:pPr>
        <w:pStyle w:val="ListParagraph"/>
        <w:numPr>
          <w:ilvl w:val="0"/>
          <w:numId w:val="17"/>
        </w:numPr>
        <w:rPr>
          <w:rFonts w:ascii="Verdana" w:hAnsi="Verdana"/>
          <w:sz w:val="18"/>
          <w:szCs w:val="18"/>
          <w:lang w:val="en-US"/>
        </w:rPr>
      </w:pPr>
      <w:r w:rsidRPr="0048382E">
        <w:rPr>
          <w:rFonts w:ascii="Verdana" w:hAnsi="Verdana"/>
          <w:sz w:val="18"/>
          <w:szCs w:val="18"/>
          <w:lang w:val="en-US"/>
        </w:rPr>
        <w:t xml:space="preserve">In case of 'not enough seed after multiplication and/or harvested on too few plants </w:t>
      </w:r>
      <w:r w:rsidR="00D90E24" w:rsidRPr="0048382E">
        <w:rPr>
          <w:rFonts w:ascii="Verdana" w:hAnsi="Verdana"/>
          <w:sz w:val="18"/>
          <w:szCs w:val="18"/>
          <w:lang w:val="en-US"/>
        </w:rPr>
        <w:t>and/or too low a germination rate</w:t>
      </w:r>
      <w:r w:rsidRPr="0048382E">
        <w:rPr>
          <w:rFonts w:ascii="Verdana" w:hAnsi="Verdana"/>
          <w:sz w:val="18"/>
          <w:szCs w:val="18"/>
          <w:lang w:val="en-US"/>
        </w:rPr>
        <w:t>', the material is kept until after the next multiplication. If it is no longer needed by then, it is destroyed.</w:t>
      </w:r>
    </w:p>
    <w:p w14:paraId="68B9A8FF" w14:textId="77777777" w:rsidR="00D23C11" w:rsidRPr="0048382E" w:rsidRDefault="00000000">
      <w:pPr>
        <w:pStyle w:val="ListParagraph"/>
        <w:numPr>
          <w:ilvl w:val="0"/>
          <w:numId w:val="17"/>
        </w:numPr>
        <w:rPr>
          <w:rFonts w:ascii="Verdana" w:hAnsi="Verdana"/>
          <w:b/>
          <w:sz w:val="18"/>
          <w:szCs w:val="18"/>
          <w:lang w:val="en-US"/>
        </w:rPr>
      </w:pPr>
      <w:r w:rsidRPr="0048382E">
        <w:rPr>
          <w:rFonts w:ascii="Verdana" w:hAnsi="Verdana"/>
          <w:sz w:val="18"/>
          <w:szCs w:val="18"/>
          <w:lang w:val="en-US"/>
        </w:rPr>
        <w:t xml:space="preserve">Open seed bags determination repeat germination. These bags are </w:t>
      </w:r>
      <w:r w:rsidR="008C2977" w:rsidRPr="0048382E">
        <w:rPr>
          <w:rFonts w:ascii="Verdana" w:hAnsi="Verdana"/>
          <w:sz w:val="18"/>
          <w:szCs w:val="18"/>
          <w:lang w:val="en-US"/>
        </w:rPr>
        <w:t xml:space="preserve">discarded </w:t>
      </w:r>
      <w:r w:rsidRPr="0048382E">
        <w:rPr>
          <w:rFonts w:ascii="Verdana" w:hAnsi="Verdana"/>
          <w:sz w:val="18"/>
          <w:szCs w:val="18"/>
          <w:lang w:val="en-US"/>
        </w:rPr>
        <w:t xml:space="preserve">after completion </w:t>
      </w:r>
      <w:r w:rsidR="008C2977" w:rsidRPr="0048382E">
        <w:rPr>
          <w:rFonts w:ascii="Verdana" w:hAnsi="Verdana"/>
          <w:sz w:val="18"/>
          <w:szCs w:val="18"/>
          <w:lang w:val="en-US"/>
        </w:rPr>
        <w:t>of the germination tests of the crop in the year in question, unless germination tests still have to be repeated in the following year or photos of the seeds still have to be taken. In that case, the bags will not be discarded until that is also completed.</w:t>
      </w:r>
    </w:p>
    <w:sectPr w:rsidR="00D23C11" w:rsidRPr="0048382E" w:rsidSect="007C5241">
      <w:headerReference w:type="default" r:id="rId8"/>
      <w:footerReference w:type="default" r:id="rId9"/>
      <w:pgSz w:w="11907" w:h="16840" w:code="9"/>
      <w:pgMar w:top="1440" w:right="1814" w:bottom="1440" w:left="1588" w:header="567" w:footer="567"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E36E1D" w14:textId="77777777" w:rsidR="00722C64" w:rsidRDefault="00722C64">
      <w:r>
        <w:separator/>
      </w:r>
    </w:p>
  </w:endnote>
  <w:endnote w:type="continuationSeparator" w:id="0">
    <w:p w14:paraId="6C4531BD" w14:textId="77777777" w:rsidR="00722C64" w:rsidRDefault="00722C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w:altName w:val="Calibri"/>
    <w:panose1 w:val="020B0500000000000000"/>
    <w:charset w:val="00"/>
    <w:family w:val="swiss"/>
    <w:pitch w:val="variable"/>
    <w:sig w:usb0="00000083" w:usb1="00000000" w:usb2="00000000" w:usb3="00000000" w:csb0="00000009"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1"/>
      <w:gridCol w:w="2248"/>
      <w:gridCol w:w="1234"/>
      <w:gridCol w:w="2437"/>
      <w:gridCol w:w="1432"/>
    </w:tblGrid>
    <w:tr w:rsidR="00125563" w14:paraId="383FF57D" w14:textId="77777777" w:rsidTr="00B0537D">
      <w:trPr>
        <w:trHeight w:val="495"/>
      </w:trPr>
      <w:tc>
        <w:tcPr>
          <w:tcW w:w="871" w:type="dxa"/>
          <w:tcBorders>
            <w:top w:val="single" w:sz="4" w:space="0" w:color="auto"/>
            <w:left w:val="single" w:sz="4" w:space="0" w:color="auto"/>
            <w:bottom w:val="single" w:sz="4" w:space="0" w:color="auto"/>
            <w:right w:val="single" w:sz="4" w:space="0" w:color="auto"/>
          </w:tcBorders>
          <w:hideMark/>
        </w:tcPr>
        <w:p w14:paraId="54DF4763" w14:textId="77777777" w:rsidR="00D23C11" w:rsidRDefault="00000000">
          <w:pPr>
            <w:widowControl w:val="0"/>
            <w:rPr>
              <w:rFonts w:ascii="Tahoma" w:hAnsi="Tahoma"/>
              <w:color w:val="000000"/>
              <w:kern w:val="28"/>
              <w:sz w:val="16"/>
              <w:lang w:val="nl-NL"/>
              <w14:shadow w14:blurRad="50800" w14:dist="38100" w14:dir="2700000" w14:sx="100000" w14:sy="100000" w14:kx="0" w14:ky="0" w14:algn="tl">
                <w14:srgbClr w14:val="000000">
                  <w14:alpha w14:val="60000"/>
                </w14:srgbClr>
              </w14:shadow>
            </w:rPr>
          </w:pPr>
          <w:r w:rsidRPr="00D003C9">
            <w:rPr>
              <w:rFonts w:ascii="Tahoma" w:hAnsi="Tahoma"/>
              <w:sz w:val="16"/>
              <w14:shadow w14:blurRad="50800" w14:dist="38100" w14:dir="2700000" w14:sx="100000" w14:sy="100000" w14:kx="0" w14:ky="0" w14:algn="tl">
                <w14:srgbClr w14:val="000000">
                  <w14:alpha w14:val="60000"/>
                </w14:srgbClr>
              </w14:shadow>
            </w:rPr>
            <w:t>author</w:t>
          </w:r>
        </w:p>
      </w:tc>
      <w:tc>
        <w:tcPr>
          <w:tcW w:w="2248" w:type="dxa"/>
          <w:tcBorders>
            <w:top w:val="single" w:sz="4" w:space="0" w:color="auto"/>
            <w:left w:val="single" w:sz="4" w:space="0" w:color="auto"/>
            <w:bottom w:val="single" w:sz="4" w:space="0" w:color="auto"/>
            <w:right w:val="single" w:sz="4" w:space="0" w:color="auto"/>
          </w:tcBorders>
          <w:hideMark/>
        </w:tcPr>
        <w:p w14:paraId="14C285E5" w14:textId="77777777" w:rsidR="00D23C11" w:rsidRDefault="00000000">
          <w:pPr>
            <w:widowControl w:val="0"/>
            <w:rPr>
              <w:rFonts w:ascii="Tahoma" w:hAnsi="Tahoma"/>
              <w:color w:val="000000"/>
              <w:kern w:val="28"/>
              <w:sz w:val="16"/>
              <w:lang w:val="nl-NL"/>
              <w14:shadow w14:blurRad="50800" w14:dist="38100" w14:dir="2700000" w14:sx="100000" w14:sy="100000" w14:kx="0" w14:ky="0" w14:algn="tl">
                <w14:srgbClr w14:val="000000">
                  <w14:alpha w14:val="60000"/>
                </w14:srgbClr>
              </w14:shadow>
            </w:rPr>
          </w:pPr>
          <w:r>
            <w:rPr>
              <w:rFonts w:ascii="Tahoma" w:hAnsi="Tahoma"/>
              <w:sz w:val="16"/>
              <w14:shadow w14:blurRad="50800" w14:dist="38100" w14:dir="2700000" w14:sx="100000" w14:sy="100000" w14:kx="0" w14:ky="0" w14:algn="tl">
                <w14:srgbClr w14:val="000000">
                  <w14:alpha w14:val="60000"/>
                </w14:srgbClr>
              </w14:shadow>
            </w:rPr>
            <w:t xml:space="preserve">Process </w:t>
          </w:r>
          <w:r w:rsidRPr="00D003C9">
            <w:rPr>
              <w:rFonts w:ascii="Tahoma" w:hAnsi="Tahoma"/>
              <w:sz w:val="16"/>
              <w14:shadow w14:blurRad="50800" w14:dist="38100" w14:dir="2700000" w14:sx="100000" w14:sy="100000" w14:kx="0" w14:ky="0" w14:algn="tl">
                <w14:srgbClr w14:val="000000">
                  <w14:alpha w14:val="60000"/>
                </w14:srgbClr>
              </w14:shadow>
            </w:rPr>
            <w:t>manager</w:t>
          </w:r>
        </w:p>
      </w:tc>
      <w:tc>
        <w:tcPr>
          <w:tcW w:w="1234" w:type="dxa"/>
          <w:tcBorders>
            <w:top w:val="single" w:sz="4" w:space="0" w:color="auto"/>
            <w:left w:val="single" w:sz="4" w:space="0" w:color="auto"/>
            <w:bottom w:val="single" w:sz="4" w:space="0" w:color="auto"/>
            <w:right w:val="single" w:sz="4" w:space="0" w:color="auto"/>
          </w:tcBorders>
          <w:hideMark/>
        </w:tcPr>
        <w:p w14:paraId="05976F5F" w14:textId="77777777" w:rsidR="00D23C11" w:rsidRDefault="00000000">
          <w:pPr>
            <w:widowControl w:val="0"/>
            <w:rPr>
              <w:rFonts w:ascii="Tahoma" w:hAnsi="Tahoma"/>
              <w:color w:val="000000"/>
              <w:kern w:val="28"/>
              <w:sz w:val="16"/>
              <w:lang w:val="nl-NL"/>
              <w14:shadow w14:blurRad="50800" w14:dist="38100" w14:dir="2700000" w14:sx="100000" w14:sy="100000" w14:kx="0" w14:ky="0" w14:algn="tl">
                <w14:srgbClr w14:val="000000">
                  <w14:alpha w14:val="60000"/>
                </w14:srgbClr>
              </w14:shadow>
            </w:rPr>
          </w:pPr>
          <w:r w:rsidRPr="00D003C9">
            <w:rPr>
              <w:rFonts w:ascii="Tahoma" w:hAnsi="Tahoma"/>
              <w:sz w:val="16"/>
              <w14:shadow w14:blurRad="50800" w14:dist="38100" w14:dir="2700000" w14:sx="100000" w14:sy="100000" w14:kx="0" w14:ky="0" w14:algn="tl">
                <w14:srgbClr w14:val="000000">
                  <w14:alpha w14:val="60000"/>
                </w14:srgbClr>
              </w14:shadow>
            </w:rPr>
            <w:t>Authorisation</w:t>
          </w:r>
        </w:p>
      </w:tc>
      <w:tc>
        <w:tcPr>
          <w:tcW w:w="2437" w:type="dxa"/>
          <w:tcBorders>
            <w:top w:val="single" w:sz="4" w:space="0" w:color="auto"/>
            <w:left w:val="single" w:sz="4" w:space="0" w:color="auto"/>
            <w:bottom w:val="single" w:sz="4" w:space="0" w:color="auto"/>
            <w:right w:val="single" w:sz="4" w:space="0" w:color="auto"/>
          </w:tcBorders>
          <w:hideMark/>
        </w:tcPr>
        <w:p w14:paraId="1D984670" w14:textId="77777777" w:rsidR="00D23C11" w:rsidRDefault="00000000">
          <w:pPr>
            <w:widowControl w:val="0"/>
            <w:rPr>
              <w:rFonts w:ascii="Tahoma" w:hAnsi="Tahoma"/>
              <w:color w:val="000000"/>
              <w:kern w:val="28"/>
              <w:sz w:val="16"/>
              <w:lang w:val="nl-NL"/>
              <w14:shadow w14:blurRad="50800" w14:dist="38100" w14:dir="2700000" w14:sx="100000" w14:sy="100000" w14:kx="0" w14:ky="0" w14:algn="tl">
                <w14:srgbClr w14:val="000000">
                  <w14:alpha w14:val="60000"/>
                </w14:srgbClr>
              </w14:shadow>
            </w:rPr>
          </w:pPr>
          <w:r w:rsidRPr="00D003C9">
            <w:rPr>
              <w:rFonts w:ascii="Tahoma" w:hAnsi="Tahoma"/>
              <w:sz w:val="16"/>
              <w14:shadow w14:blurRad="50800" w14:dist="38100" w14:dir="2700000" w14:sx="100000" w14:sy="100000" w14:kx="0" w14:ky="0" w14:algn="tl">
                <w14:srgbClr w14:val="000000">
                  <w14:alpha w14:val="60000"/>
                </w14:srgbClr>
              </w14:shadow>
            </w:rPr>
            <w:t>Date of validity declaration</w:t>
          </w:r>
        </w:p>
      </w:tc>
      <w:tc>
        <w:tcPr>
          <w:tcW w:w="1432" w:type="dxa"/>
          <w:tcBorders>
            <w:top w:val="single" w:sz="4" w:space="0" w:color="auto"/>
            <w:left w:val="single" w:sz="4" w:space="0" w:color="auto"/>
            <w:bottom w:val="single" w:sz="4" w:space="0" w:color="auto"/>
            <w:right w:val="single" w:sz="4" w:space="0" w:color="auto"/>
          </w:tcBorders>
          <w:hideMark/>
        </w:tcPr>
        <w:p w14:paraId="75D2EFA1" w14:textId="77777777" w:rsidR="00D23C11" w:rsidRDefault="00000000">
          <w:pPr>
            <w:widowControl w:val="0"/>
            <w:rPr>
              <w:rFonts w:ascii="Tahoma" w:hAnsi="Tahoma"/>
              <w:color w:val="000000"/>
              <w:kern w:val="28"/>
              <w:sz w:val="16"/>
              <w:lang w:val="nl-NL"/>
              <w14:shadow w14:blurRad="50800" w14:dist="38100" w14:dir="2700000" w14:sx="100000" w14:sy="100000" w14:kx="0" w14:ky="0" w14:algn="tl">
                <w14:srgbClr w14:val="000000">
                  <w14:alpha w14:val="60000"/>
                </w14:srgbClr>
              </w14:shadow>
            </w:rPr>
          </w:pPr>
          <w:r w:rsidRPr="00D003C9">
            <w:rPr>
              <w:rFonts w:ascii="Tahoma" w:hAnsi="Tahoma"/>
              <w:sz w:val="16"/>
              <w14:shadow w14:blurRad="50800" w14:dist="38100" w14:dir="2700000" w14:sx="100000" w14:sy="100000" w14:kx="0" w14:ky="0" w14:algn="tl">
                <w14:srgbClr w14:val="000000">
                  <w14:alpha w14:val="60000"/>
                </w14:srgbClr>
              </w14:shadow>
            </w:rPr>
            <w:t>Version no.</w:t>
          </w:r>
        </w:p>
      </w:tc>
    </w:tr>
    <w:tr w:rsidR="00125563" w14:paraId="195EEB26" w14:textId="77777777" w:rsidTr="00B0537D">
      <w:trPr>
        <w:cantSplit/>
        <w:trHeight w:val="246"/>
      </w:trPr>
      <w:tc>
        <w:tcPr>
          <w:tcW w:w="871" w:type="dxa"/>
          <w:vMerge w:val="restart"/>
          <w:tcBorders>
            <w:top w:val="single" w:sz="4" w:space="0" w:color="auto"/>
            <w:left w:val="single" w:sz="4" w:space="0" w:color="auto"/>
            <w:bottom w:val="single" w:sz="4" w:space="0" w:color="auto"/>
            <w:right w:val="single" w:sz="4" w:space="0" w:color="auto"/>
          </w:tcBorders>
          <w:hideMark/>
        </w:tcPr>
        <w:p w14:paraId="08B99BF3" w14:textId="77777777" w:rsidR="00D23C11" w:rsidRDefault="00000000">
          <w:pPr>
            <w:widowControl w:val="0"/>
            <w:rPr>
              <w:rFonts w:ascii="Tahoma" w:hAnsi="Tahoma"/>
              <w:color w:val="000000"/>
              <w:kern w:val="28"/>
              <w:sz w:val="16"/>
              <w:lang w:val="nl-NL"/>
              <w14:shadow w14:blurRad="50800" w14:dist="38100" w14:dir="2700000" w14:sx="100000" w14:sy="100000" w14:kx="0" w14:ky="0" w14:algn="tl">
                <w14:srgbClr w14:val="000000">
                  <w14:alpha w14:val="60000"/>
                </w14:srgbClr>
              </w14:shadow>
            </w:rPr>
          </w:pPr>
          <w:r w:rsidRPr="00D003C9">
            <w:rPr>
              <w:rFonts w:ascii="Tahoma" w:hAnsi="Tahoma"/>
              <w:sz w:val="16"/>
              <w14:shadow w14:blurRad="50800" w14:dist="38100" w14:dir="2700000" w14:sx="100000" w14:sy="100000" w14:kx="0" w14:ky="0" w14:algn="tl">
                <w14:srgbClr w14:val="000000">
                  <w14:alpha w14:val="60000"/>
                </w14:srgbClr>
              </w14:shadow>
            </w:rPr>
            <w:t>LG</w:t>
          </w:r>
        </w:p>
      </w:tc>
      <w:tc>
        <w:tcPr>
          <w:tcW w:w="2248" w:type="dxa"/>
          <w:vMerge w:val="restart"/>
          <w:tcBorders>
            <w:top w:val="single" w:sz="4" w:space="0" w:color="auto"/>
            <w:left w:val="single" w:sz="4" w:space="0" w:color="auto"/>
            <w:bottom w:val="single" w:sz="4" w:space="0" w:color="auto"/>
            <w:right w:val="single" w:sz="4" w:space="0" w:color="auto"/>
          </w:tcBorders>
          <w:hideMark/>
        </w:tcPr>
        <w:p w14:paraId="53A05D18" w14:textId="77777777" w:rsidR="00D23C11" w:rsidRDefault="00000000">
          <w:pPr>
            <w:widowControl w:val="0"/>
            <w:rPr>
              <w:rFonts w:ascii="Tahoma" w:hAnsi="Tahoma"/>
              <w:color w:val="000000"/>
              <w:kern w:val="28"/>
              <w:sz w:val="16"/>
              <w:lang w:val="nl-NL"/>
              <w14:shadow w14:blurRad="50800" w14:dist="38100" w14:dir="2700000" w14:sx="100000" w14:sy="100000" w14:kx="0" w14:ky="0" w14:algn="tl">
                <w14:srgbClr w14:val="000000">
                  <w14:alpha w14:val="60000"/>
                </w14:srgbClr>
              </w14:shadow>
            </w:rPr>
          </w:pPr>
          <w:r>
            <w:rPr>
              <w:rFonts w:ascii="Tahoma" w:hAnsi="Tahoma"/>
              <w:sz w:val="16"/>
              <w14:shadow w14:blurRad="50800" w14:dist="38100" w14:dir="2700000" w14:sx="100000" w14:sy="100000" w14:kx="0" w14:ky="0" w14:algn="tl">
                <w14:srgbClr w14:val="000000">
                  <w14:alpha w14:val="60000"/>
                </w14:srgbClr>
              </w14:shadow>
            </w:rPr>
            <w:t>CK</w:t>
          </w:r>
        </w:p>
      </w:tc>
      <w:tc>
        <w:tcPr>
          <w:tcW w:w="1234" w:type="dxa"/>
          <w:vMerge w:val="restart"/>
          <w:tcBorders>
            <w:top w:val="single" w:sz="4" w:space="0" w:color="auto"/>
            <w:left w:val="single" w:sz="4" w:space="0" w:color="auto"/>
            <w:bottom w:val="single" w:sz="4" w:space="0" w:color="auto"/>
            <w:right w:val="single" w:sz="4" w:space="0" w:color="auto"/>
          </w:tcBorders>
          <w:hideMark/>
        </w:tcPr>
        <w:p w14:paraId="4A2034D0" w14:textId="77777777" w:rsidR="00D23C11" w:rsidRDefault="00000000">
          <w:pPr>
            <w:widowControl w:val="0"/>
            <w:rPr>
              <w:rFonts w:ascii="Tahoma" w:hAnsi="Tahoma"/>
              <w:color w:val="000000"/>
              <w:kern w:val="28"/>
              <w:sz w:val="16"/>
              <w:lang w:val="nl-NL"/>
              <w14:shadow w14:blurRad="50800" w14:dist="38100" w14:dir="2700000" w14:sx="100000" w14:sy="100000" w14:kx="0" w14:ky="0" w14:algn="tl">
                <w14:srgbClr w14:val="000000">
                  <w14:alpha w14:val="60000"/>
                </w14:srgbClr>
              </w14:shadow>
            </w:rPr>
          </w:pPr>
          <w:r>
            <w:rPr>
              <w:rFonts w:ascii="Tahoma" w:hAnsi="Tahoma"/>
              <w:color w:val="000000"/>
              <w:kern w:val="28"/>
              <w:sz w:val="16"/>
              <w:lang w:val="nl-NL"/>
              <w14:shadow w14:blurRad="50800" w14:dist="38100" w14:dir="2700000" w14:sx="100000" w14:sy="100000" w14:kx="0" w14:ky="0" w14:algn="tl">
                <w14:srgbClr w14:val="000000">
                  <w14:alpha w14:val="60000"/>
                </w14:srgbClr>
              </w14:shadow>
            </w:rPr>
            <w:t>CK</w:t>
          </w:r>
        </w:p>
      </w:tc>
      <w:tc>
        <w:tcPr>
          <w:tcW w:w="2437" w:type="dxa"/>
          <w:vMerge w:val="restart"/>
          <w:tcBorders>
            <w:top w:val="single" w:sz="4" w:space="0" w:color="auto"/>
            <w:left w:val="single" w:sz="4" w:space="0" w:color="auto"/>
            <w:bottom w:val="single" w:sz="4" w:space="0" w:color="auto"/>
            <w:right w:val="single" w:sz="4" w:space="0" w:color="auto"/>
          </w:tcBorders>
          <w:hideMark/>
        </w:tcPr>
        <w:p w14:paraId="5096FA42" w14:textId="77777777" w:rsidR="00D23C11" w:rsidRDefault="00000000">
          <w:pPr>
            <w:rPr>
              <w:rFonts w:ascii="Tahoma" w:hAnsi="Tahoma"/>
              <w:sz w:val="16"/>
              <w:lang w:val="nl-NL"/>
              <w14:shadow w14:blurRad="50800" w14:dist="38100" w14:dir="2700000" w14:sx="100000" w14:sy="100000" w14:kx="0" w14:ky="0" w14:algn="tl">
                <w14:srgbClr w14:val="000000">
                  <w14:alpha w14:val="60000"/>
                </w14:srgbClr>
              </w14:shadow>
            </w:rPr>
          </w:pPr>
          <w:r>
            <w:rPr>
              <w:rFonts w:ascii="Tahoma" w:hAnsi="Tahoma"/>
              <w:sz w:val="16"/>
              <w:lang w:val="nl-NL"/>
              <w14:shadow w14:blurRad="50800" w14:dist="38100" w14:dir="2700000" w14:sx="100000" w14:sy="100000" w14:kx="0" w14:ky="0" w14:algn="tl">
                <w14:srgbClr w14:val="000000">
                  <w14:alpha w14:val="60000"/>
                </w14:srgbClr>
              </w14:shadow>
            </w:rPr>
            <w:t>28-9-2018</w:t>
          </w:r>
        </w:p>
      </w:tc>
      <w:tc>
        <w:tcPr>
          <w:tcW w:w="1432" w:type="dxa"/>
          <w:vMerge w:val="restart"/>
          <w:tcBorders>
            <w:top w:val="single" w:sz="4" w:space="0" w:color="auto"/>
            <w:left w:val="single" w:sz="4" w:space="0" w:color="auto"/>
            <w:bottom w:val="single" w:sz="4" w:space="0" w:color="auto"/>
            <w:right w:val="single" w:sz="4" w:space="0" w:color="auto"/>
          </w:tcBorders>
          <w:hideMark/>
        </w:tcPr>
        <w:p w14:paraId="4B0BA8FE" w14:textId="77777777" w:rsidR="00D23C11" w:rsidRDefault="00000000">
          <w:pPr>
            <w:rPr>
              <w:rFonts w:ascii="Tahoma" w:hAnsi="Tahoma"/>
              <w:sz w:val="16"/>
              <w:lang w:val="en-AU"/>
              <w14:shadow w14:blurRad="50800" w14:dist="38100" w14:dir="2700000" w14:sx="100000" w14:sy="100000" w14:kx="0" w14:ky="0" w14:algn="tl">
                <w14:srgbClr w14:val="000000">
                  <w14:alpha w14:val="60000"/>
                </w14:srgbClr>
              </w14:shadow>
            </w:rPr>
          </w:pPr>
          <w:r>
            <w:rPr>
              <w:rFonts w:ascii="Tahoma" w:hAnsi="Tahoma"/>
              <w:sz w:val="16"/>
              <w14:shadow w14:blurRad="50800" w14:dist="38100" w14:dir="2700000" w14:sx="100000" w14:sy="100000" w14:kx="0" w14:ky="0" w14:algn="tl">
                <w14:srgbClr w14:val="000000">
                  <w14:alpha w14:val="60000"/>
                </w14:srgbClr>
              </w14:shadow>
            </w:rPr>
            <w:t>4</w:t>
          </w:r>
        </w:p>
      </w:tc>
    </w:tr>
    <w:tr w:rsidR="00125563" w14:paraId="679DD89A" w14:textId="77777777" w:rsidTr="00B0537D">
      <w:trPr>
        <w:cantSplit/>
        <w:trHeight w:val="246"/>
      </w:trPr>
      <w:tc>
        <w:tcPr>
          <w:tcW w:w="871" w:type="dxa"/>
          <w:vMerge/>
          <w:tcBorders>
            <w:top w:val="single" w:sz="4" w:space="0" w:color="auto"/>
            <w:left w:val="single" w:sz="4" w:space="0" w:color="auto"/>
            <w:bottom w:val="single" w:sz="4" w:space="0" w:color="auto"/>
            <w:right w:val="single" w:sz="4" w:space="0" w:color="auto"/>
          </w:tcBorders>
          <w:vAlign w:val="center"/>
          <w:hideMark/>
        </w:tcPr>
        <w:p w14:paraId="696FC03B" w14:textId="77777777" w:rsidR="00125563" w:rsidRPr="00D003C9" w:rsidRDefault="00125563">
          <w:pPr>
            <w:rPr>
              <w:rFonts w:ascii="Tahoma" w:hAnsi="Tahoma"/>
              <w:color w:val="000000"/>
              <w:kern w:val="28"/>
              <w:sz w:val="16"/>
              <w:lang w:val="nl-NL"/>
              <w14:shadow w14:blurRad="50800" w14:dist="38100" w14:dir="2700000" w14:sx="100000" w14:sy="100000" w14:kx="0" w14:ky="0" w14:algn="tl">
                <w14:srgbClr w14:val="000000">
                  <w14:alpha w14:val="60000"/>
                </w14:srgbClr>
              </w14:shadow>
            </w:rPr>
          </w:pPr>
        </w:p>
      </w:tc>
      <w:tc>
        <w:tcPr>
          <w:tcW w:w="2248" w:type="dxa"/>
          <w:vMerge/>
          <w:tcBorders>
            <w:top w:val="single" w:sz="4" w:space="0" w:color="auto"/>
            <w:left w:val="single" w:sz="4" w:space="0" w:color="auto"/>
            <w:bottom w:val="single" w:sz="4" w:space="0" w:color="auto"/>
            <w:right w:val="single" w:sz="4" w:space="0" w:color="auto"/>
          </w:tcBorders>
          <w:vAlign w:val="center"/>
          <w:hideMark/>
        </w:tcPr>
        <w:p w14:paraId="7F2E96CF" w14:textId="77777777" w:rsidR="00125563" w:rsidRPr="00D003C9" w:rsidRDefault="00125563">
          <w:pPr>
            <w:rPr>
              <w:rFonts w:ascii="Tahoma" w:hAnsi="Tahoma"/>
              <w:color w:val="000000"/>
              <w:kern w:val="28"/>
              <w:sz w:val="16"/>
              <w:lang w:val="nl-NL"/>
              <w14:shadow w14:blurRad="50800" w14:dist="38100" w14:dir="2700000" w14:sx="100000" w14:sy="100000" w14:kx="0" w14:ky="0" w14:algn="tl">
                <w14:srgbClr w14:val="000000">
                  <w14:alpha w14:val="60000"/>
                </w14:srgbClr>
              </w14:shadow>
            </w:rPr>
          </w:pPr>
        </w:p>
      </w:tc>
      <w:tc>
        <w:tcPr>
          <w:tcW w:w="1234" w:type="dxa"/>
          <w:vMerge/>
          <w:tcBorders>
            <w:top w:val="single" w:sz="4" w:space="0" w:color="auto"/>
            <w:left w:val="single" w:sz="4" w:space="0" w:color="auto"/>
            <w:bottom w:val="single" w:sz="4" w:space="0" w:color="auto"/>
            <w:right w:val="single" w:sz="4" w:space="0" w:color="auto"/>
          </w:tcBorders>
          <w:vAlign w:val="center"/>
          <w:hideMark/>
        </w:tcPr>
        <w:p w14:paraId="395C7B4F" w14:textId="77777777" w:rsidR="00125563" w:rsidRPr="00D003C9" w:rsidRDefault="00125563">
          <w:pPr>
            <w:rPr>
              <w:rFonts w:ascii="Tahoma" w:hAnsi="Tahoma"/>
              <w:color w:val="000000"/>
              <w:kern w:val="28"/>
              <w:sz w:val="16"/>
              <w:lang w:val="nl-NL"/>
              <w14:shadow w14:blurRad="50800" w14:dist="38100" w14:dir="2700000" w14:sx="100000" w14:sy="100000" w14:kx="0" w14:ky="0" w14:algn="tl">
                <w14:srgbClr w14:val="000000">
                  <w14:alpha w14:val="60000"/>
                </w14:srgbClr>
              </w14:shadow>
            </w:rPr>
          </w:pPr>
        </w:p>
      </w:tc>
      <w:tc>
        <w:tcPr>
          <w:tcW w:w="2437" w:type="dxa"/>
          <w:vMerge/>
          <w:tcBorders>
            <w:top w:val="single" w:sz="4" w:space="0" w:color="auto"/>
            <w:left w:val="single" w:sz="4" w:space="0" w:color="auto"/>
            <w:bottom w:val="single" w:sz="4" w:space="0" w:color="auto"/>
            <w:right w:val="single" w:sz="4" w:space="0" w:color="auto"/>
          </w:tcBorders>
          <w:vAlign w:val="center"/>
          <w:hideMark/>
        </w:tcPr>
        <w:p w14:paraId="2BF36622" w14:textId="77777777" w:rsidR="00125563" w:rsidRPr="00D003C9" w:rsidRDefault="00125563">
          <w:pPr>
            <w:rPr>
              <w:rFonts w:ascii="Tahoma" w:hAnsi="Tahoma"/>
              <w:color w:val="000000"/>
              <w:kern w:val="28"/>
              <w:sz w:val="16"/>
              <w:lang w:val="nl-NL"/>
              <w14:shadow w14:blurRad="50800" w14:dist="38100" w14:dir="2700000" w14:sx="100000" w14:sy="100000" w14:kx="0" w14:ky="0" w14:algn="tl">
                <w14:srgbClr w14:val="000000">
                  <w14:alpha w14:val="60000"/>
                </w14:srgbClr>
              </w14:shadow>
            </w:rPr>
          </w:pPr>
        </w:p>
      </w:tc>
      <w:tc>
        <w:tcPr>
          <w:tcW w:w="1432" w:type="dxa"/>
          <w:vMerge/>
          <w:tcBorders>
            <w:top w:val="single" w:sz="4" w:space="0" w:color="auto"/>
            <w:left w:val="single" w:sz="4" w:space="0" w:color="auto"/>
            <w:bottom w:val="single" w:sz="4" w:space="0" w:color="auto"/>
            <w:right w:val="single" w:sz="4" w:space="0" w:color="auto"/>
          </w:tcBorders>
          <w:vAlign w:val="center"/>
          <w:hideMark/>
        </w:tcPr>
        <w:p w14:paraId="33A1F76D" w14:textId="77777777" w:rsidR="00125563" w:rsidRPr="00D003C9" w:rsidRDefault="00125563">
          <w:pPr>
            <w:rPr>
              <w:rFonts w:ascii="Tahoma" w:hAnsi="Tahoma"/>
              <w:color w:val="000000"/>
              <w:kern w:val="28"/>
              <w:sz w:val="16"/>
              <w:lang w:val="en-AU"/>
              <w14:shadow w14:blurRad="50800" w14:dist="38100" w14:dir="2700000" w14:sx="100000" w14:sy="100000" w14:kx="0" w14:ky="0" w14:algn="tl">
                <w14:srgbClr w14:val="000000">
                  <w14:alpha w14:val="60000"/>
                </w14:srgbClr>
              </w14:shadow>
            </w:rPr>
          </w:pPr>
        </w:p>
      </w:tc>
    </w:tr>
  </w:tbl>
  <w:p w14:paraId="2D8B7B24" w14:textId="77777777" w:rsidR="00125563" w:rsidRDefault="0012556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98E51E" w14:textId="77777777" w:rsidR="00722C64" w:rsidRDefault="00722C64">
      <w:r>
        <w:separator/>
      </w:r>
    </w:p>
  </w:footnote>
  <w:footnote w:type="continuationSeparator" w:id="0">
    <w:p w14:paraId="07DD404D" w14:textId="77777777" w:rsidR="00722C64" w:rsidRDefault="00722C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38"/>
      <w:gridCol w:w="2835"/>
    </w:tblGrid>
    <w:tr w:rsidR="00125563" w14:paraId="634E33E0" w14:textId="77777777" w:rsidTr="007C5241">
      <w:trPr>
        <w:trHeight w:val="699"/>
      </w:trPr>
      <w:tc>
        <w:tcPr>
          <w:tcW w:w="7338" w:type="dxa"/>
        </w:tcPr>
        <w:p w14:paraId="2F0EF001" w14:textId="77777777" w:rsidR="00D23C11" w:rsidRPr="0048382E" w:rsidRDefault="00000000">
          <w:pPr>
            <w:pStyle w:val="Header"/>
            <w:rPr>
              <w:rStyle w:val="PageNumber"/>
              <w:sz w:val="16"/>
              <w:lang w:val="en-US"/>
            </w:rPr>
          </w:pPr>
          <w:r w:rsidRPr="0048382E">
            <w:rPr>
              <w:rFonts w:ascii="Tahoma" w:hAnsi="Tahoma"/>
              <w:sz w:val="40"/>
              <w:lang w:val="en-US"/>
              <w14:shadow w14:blurRad="50800" w14:dist="38100" w14:dir="2700000" w14:sx="100000" w14:sy="100000" w14:kx="0" w14:ky="0" w14:algn="tl">
                <w14:srgbClr w14:val="000000">
                  <w14:alpha w14:val="60000"/>
                </w14:srgbClr>
              </w14:shadow>
            </w:rPr>
            <w:t>QUALITY MANAGEMENT SYSTEM</w:t>
          </w:r>
          <w:r w:rsidRPr="0048382E">
            <w:rPr>
              <w:rFonts w:ascii="Tahoma" w:hAnsi="Tahoma"/>
              <w:sz w:val="40"/>
              <w:lang w:val="en-US"/>
              <w14:shadow w14:blurRad="50800" w14:dist="38100" w14:dir="2700000" w14:sx="100000" w14:sy="100000" w14:kx="0" w14:ky="0" w14:algn="tl">
                <w14:srgbClr w14:val="000000">
                  <w14:alpha w14:val="60000"/>
                </w14:srgbClr>
              </w14:shadow>
            </w:rPr>
            <w:br/>
          </w:r>
          <w:r w:rsidRPr="0048382E">
            <w:rPr>
              <w:rFonts w:ascii="Tahoma" w:hAnsi="Tahoma"/>
              <w:sz w:val="24"/>
              <w:lang w:val="en-US"/>
              <w14:shadow w14:blurRad="50800" w14:dist="38100" w14:dir="2700000" w14:sx="100000" w14:sy="100000" w14:kx="0" w14:ky="0" w14:algn="tl">
                <w14:srgbClr w14:val="000000">
                  <w14:alpha w14:val="60000"/>
                </w14:srgbClr>
              </w14:shadow>
            </w:rPr>
            <w:t>Centre for Genetic Resources Netherlands</w:t>
          </w:r>
        </w:p>
      </w:tc>
      <w:tc>
        <w:tcPr>
          <w:tcW w:w="2835" w:type="dxa"/>
        </w:tcPr>
        <w:p w14:paraId="6B1A196C" w14:textId="77777777" w:rsidR="00125563" w:rsidRDefault="00125563">
          <w:pPr>
            <w:pStyle w:val="Header"/>
            <w:rPr>
              <w:rStyle w:val="PageNumber"/>
              <w:sz w:val="16"/>
            </w:rPr>
          </w:pPr>
          <w:r>
            <w:rPr>
              <w:rFonts w:ascii="Tahoma" w:hAnsi="Tahoma"/>
              <w:b/>
              <w:noProof/>
              <w:sz w:val="40"/>
              <w:lang w:val="nl-NL"/>
            </w:rPr>
            <w:drawing>
              <wp:inline distT="0" distB="0" distL="0" distR="0" wp14:anchorId="1E0B8A51" wp14:editId="3BC60AF6">
                <wp:extent cx="556260" cy="464820"/>
                <wp:effectExtent l="0" t="0" r="0" b="0"/>
                <wp:docPr id="1" name="Afbeelding 1" descr="wur_beeldmerk_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ur_beeldmerk_colo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6260" cy="464820"/>
                        </a:xfrm>
                        <a:prstGeom prst="rect">
                          <a:avLst/>
                        </a:prstGeom>
                        <a:noFill/>
                        <a:ln>
                          <a:noFill/>
                        </a:ln>
                      </pic:spPr>
                    </pic:pic>
                  </a:graphicData>
                </a:graphic>
              </wp:inline>
            </w:drawing>
          </w:r>
        </w:p>
      </w:tc>
    </w:tr>
    <w:tr w:rsidR="00125563" w:rsidRPr="0023208E" w14:paraId="482D7D1B" w14:textId="77777777" w:rsidTr="007C5241">
      <w:trPr>
        <w:trHeight w:val="486"/>
      </w:trPr>
      <w:tc>
        <w:tcPr>
          <w:tcW w:w="7338" w:type="dxa"/>
        </w:tcPr>
        <w:p w14:paraId="4A290B17" w14:textId="77777777" w:rsidR="00D23C11" w:rsidRDefault="00000000">
          <w:pPr>
            <w:pStyle w:val="Header"/>
            <w:tabs>
              <w:tab w:val="left" w:pos="851"/>
            </w:tabs>
            <w:spacing w:before="120"/>
            <w:rPr>
              <w:rStyle w:val="PageNumber"/>
              <w:sz w:val="16"/>
              <w:lang w:val="nl-NL"/>
            </w:rPr>
          </w:pPr>
          <w:r w:rsidRPr="003332A4">
            <w:rPr>
              <w:rStyle w:val="PageNumber"/>
              <w:sz w:val="16"/>
              <w:lang w:val="nl-NL"/>
            </w:rPr>
            <w:t xml:space="preserve">6. </w:t>
          </w:r>
          <w:r w:rsidRPr="003332A4">
            <w:rPr>
              <w:rStyle w:val="PageNumber"/>
              <w:sz w:val="16"/>
              <w:lang w:val="nl-NL"/>
            </w:rPr>
            <w:tab/>
          </w:r>
          <w:r>
            <w:rPr>
              <w:rStyle w:val="PageNumber"/>
              <w:sz w:val="16"/>
              <w:lang w:val="nl-NL"/>
            </w:rPr>
            <w:t>PGR</w:t>
          </w:r>
        </w:p>
        <w:p w14:paraId="239B4EB8" w14:textId="5FC2B638" w:rsidR="00D23C11" w:rsidRDefault="00000000">
          <w:pPr>
            <w:pStyle w:val="Header"/>
            <w:tabs>
              <w:tab w:val="left" w:pos="851"/>
            </w:tabs>
            <w:rPr>
              <w:rStyle w:val="PageNumber"/>
              <w:sz w:val="16"/>
              <w:lang w:val="nl-NL"/>
            </w:rPr>
          </w:pPr>
          <w:r w:rsidRPr="003332A4">
            <w:rPr>
              <w:rStyle w:val="PageNumber"/>
              <w:sz w:val="16"/>
              <w:lang w:val="nl-NL"/>
            </w:rPr>
            <w:t>6.</w:t>
          </w:r>
          <w:r>
            <w:rPr>
              <w:rStyle w:val="PageNumber"/>
              <w:sz w:val="16"/>
              <w:lang w:val="nl-NL"/>
            </w:rPr>
            <w:t>2</w:t>
          </w:r>
          <w:r w:rsidRPr="003332A4">
            <w:rPr>
              <w:rStyle w:val="PageNumber"/>
              <w:sz w:val="16"/>
              <w:lang w:val="nl-NL"/>
            </w:rPr>
            <w:t>.41</w:t>
          </w:r>
          <w:r w:rsidR="0048382E">
            <w:rPr>
              <w:rStyle w:val="PageNumber"/>
              <w:sz w:val="16"/>
              <w:lang w:val="nl-NL"/>
            </w:rPr>
            <w:t xml:space="preserve">            </w:t>
          </w:r>
          <w:proofErr w:type="spellStart"/>
          <w:r w:rsidRPr="003332A4">
            <w:rPr>
              <w:rStyle w:val="PageNumber"/>
              <w:sz w:val="16"/>
              <w:lang w:val="nl-NL"/>
            </w:rPr>
            <w:t>Identification</w:t>
          </w:r>
          <w:proofErr w:type="spellEnd"/>
          <w:r w:rsidRPr="003332A4">
            <w:rPr>
              <w:rStyle w:val="PageNumber"/>
              <w:sz w:val="16"/>
              <w:lang w:val="nl-NL"/>
            </w:rPr>
            <w:t xml:space="preserve"> and </w:t>
          </w:r>
          <w:proofErr w:type="spellStart"/>
          <w:r w:rsidRPr="003332A4">
            <w:rPr>
              <w:rStyle w:val="PageNumber"/>
              <w:sz w:val="16"/>
              <w:lang w:val="nl-NL"/>
            </w:rPr>
            <w:t>traceability</w:t>
          </w:r>
          <w:proofErr w:type="spellEnd"/>
        </w:p>
      </w:tc>
      <w:tc>
        <w:tcPr>
          <w:tcW w:w="2835" w:type="dxa"/>
        </w:tcPr>
        <w:p w14:paraId="1827A8C3" w14:textId="77777777" w:rsidR="00D23C11" w:rsidRDefault="00000000">
          <w:pPr>
            <w:pStyle w:val="Header"/>
            <w:rPr>
              <w:rStyle w:val="PageNumber"/>
              <w:sz w:val="16"/>
              <w:szCs w:val="16"/>
              <w:lang w:val="nl-NL"/>
            </w:rPr>
          </w:pPr>
          <w:r w:rsidRPr="007C5241">
            <w:rPr>
              <w:rStyle w:val="PageNumber"/>
              <w:sz w:val="16"/>
              <w:szCs w:val="16"/>
              <w:lang w:val="nl-NL"/>
            </w:rPr>
            <w:t xml:space="preserve">Code: UIT-CGN-PG </w:t>
          </w:r>
          <w:r>
            <w:rPr>
              <w:rStyle w:val="PageNumber"/>
              <w:sz w:val="16"/>
              <w:szCs w:val="16"/>
              <w:lang w:val="nl-NL"/>
            </w:rPr>
            <w:t>6.2</w:t>
          </w:r>
          <w:r w:rsidRPr="007C5241">
            <w:rPr>
              <w:rStyle w:val="PageNumber"/>
              <w:sz w:val="16"/>
              <w:szCs w:val="16"/>
              <w:lang w:val="nl-NL"/>
            </w:rPr>
            <w:t>.41</w:t>
          </w:r>
        </w:p>
        <w:p w14:paraId="4481F1FE" w14:textId="77777777" w:rsidR="00D23C11" w:rsidRDefault="00000000">
          <w:pPr>
            <w:pStyle w:val="Header"/>
            <w:rPr>
              <w:rStyle w:val="PageNumber"/>
              <w:sz w:val="16"/>
              <w:lang w:val="nl-NL"/>
            </w:rPr>
          </w:pPr>
          <w:r w:rsidRPr="007C5241">
            <w:rPr>
              <w:rStyle w:val="PageNumber"/>
              <w:sz w:val="16"/>
              <w:szCs w:val="16"/>
              <w:lang w:val="nl-NL"/>
            </w:rPr>
            <w:t xml:space="preserve">Page: </w:t>
          </w:r>
          <w:r w:rsidRPr="007C5241">
            <w:rPr>
              <w:rStyle w:val="PageNumber"/>
              <w:sz w:val="16"/>
              <w:szCs w:val="16"/>
            </w:rPr>
            <w:fldChar w:fldCharType="begin"/>
          </w:r>
          <w:r w:rsidRPr="00B0537D">
            <w:rPr>
              <w:rStyle w:val="PageNumber"/>
              <w:sz w:val="16"/>
              <w:szCs w:val="16"/>
              <w:lang w:val="nl-NL"/>
            </w:rPr>
            <w:instrText xml:space="preserve"> PAGE </w:instrText>
          </w:r>
          <w:r w:rsidRPr="007C5241">
            <w:rPr>
              <w:rStyle w:val="PageNumber"/>
              <w:sz w:val="16"/>
              <w:szCs w:val="16"/>
            </w:rPr>
            <w:fldChar w:fldCharType="separate"/>
          </w:r>
          <w:r>
            <w:rPr>
              <w:rStyle w:val="PageNumber"/>
              <w:noProof/>
              <w:sz w:val="16"/>
              <w:szCs w:val="16"/>
              <w:lang w:val="nl-NL"/>
            </w:rPr>
            <w:t>4</w:t>
          </w:r>
          <w:r w:rsidRPr="007C5241">
            <w:rPr>
              <w:rStyle w:val="PageNumber"/>
              <w:sz w:val="16"/>
              <w:szCs w:val="16"/>
            </w:rPr>
            <w:fldChar w:fldCharType="end"/>
          </w:r>
          <w:r w:rsidRPr="00B0537D">
            <w:rPr>
              <w:rStyle w:val="PageNumber"/>
              <w:sz w:val="16"/>
              <w:szCs w:val="16"/>
              <w:lang w:val="nl-NL"/>
            </w:rPr>
            <w:t xml:space="preserve"> from </w:t>
          </w:r>
          <w:r w:rsidRPr="007C5241">
            <w:rPr>
              <w:rStyle w:val="PageNumber"/>
              <w:sz w:val="16"/>
              <w:szCs w:val="16"/>
            </w:rPr>
            <w:fldChar w:fldCharType="begin"/>
          </w:r>
          <w:r w:rsidRPr="00B0537D">
            <w:rPr>
              <w:rStyle w:val="PageNumber"/>
              <w:sz w:val="16"/>
              <w:szCs w:val="16"/>
              <w:lang w:val="nl-NL"/>
            </w:rPr>
            <w:instrText xml:space="preserve"> NUMPAGES </w:instrText>
          </w:r>
          <w:r w:rsidRPr="007C5241">
            <w:rPr>
              <w:rStyle w:val="PageNumber"/>
              <w:sz w:val="16"/>
              <w:szCs w:val="16"/>
            </w:rPr>
            <w:fldChar w:fldCharType="separate"/>
          </w:r>
          <w:r>
            <w:rPr>
              <w:rStyle w:val="PageNumber"/>
              <w:noProof/>
              <w:sz w:val="16"/>
              <w:szCs w:val="16"/>
              <w:lang w:val="nl-NL"/>
            </w:rPr>
            <w:t>5</w:t>
          </w:r>
          <w:r w:rsidRPr="007C5241">
            <w:rPr>
              <w:rStyle w:val="PageNumber"/>
              <w:sz w:val="16"/>
              <w:szCs w:val="16"/>
            </w:rPr>
            <w:fldChar w:fldCharType="end"/>
          </w:r>
        </w:p>
      </w:tc>
    </w:tr>
  </w:tbl>
  <w:p w14:paraId="14255ADD" w14:textId="77777777" w:rsidR="00125563" w:rsidRPr="00B0537D" w:rsidRDefault="00125563" w:rsidP="00762180">
    <w:pPr>
      <w:pStyle w:val="Header"/>
      <w:rPr>
        <w:lang w:val="nl-N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FC614B"/>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7EB7468"/>
    <w:multiLevelType w:val="singleLevel"/>
    <w:tmpl w:val="2D4E841A"/>
    <w:lvl w:ilvl="0">
      <w:start w:val="8"/>
      <w:numFmt w:val="decimal"/>
      <w:lvlText w:val="%1)"/>
      <w:lvlJc w:val="left"/>
      <w:pPr>
        <w:tabs>
          <w:tab w:val="num" w:pos="360"/>
        </w:tabs>
        <w:ind w:left="360" w:hanging="360"/>
      </w:pPr>
    </w:lvl>
  </w:abstractNum>
  <w:abstractNum w:abstractNumId="2" w15:restartNumberingAfterBreak="0">
    <w:nsid w:val="0E730CE6"/>
    <w:multiLevelType w:val="hybridMultilevel"/>
    <w:tmpl w:val="243EA924"/>
    <w:lvl w:ilvl="0" w:tplc="04090001">
      <w:start w:val="1"/>
      <w:numFmt w:val="bullet"/>
      <w:lvlText w:val=""/>
      <w:lvlJc w:val="left"/>
      <w:pPr>
        <w:tabs>
          <w:tab w:val="num" w:pos="2138"/>
        </w:tabs>
        <w:ind w:left="2138" w:hanging="360"/>
      </w:pPr>
      <w:rPr>
        <w:rFonts w:ascii="Symbol" w:hAnsi="Symbol" w:hint="default"/>
      </w:rPr>
    </w:lvl>
    <w:lvl w:ilvl="1" w:tplc="04090003" w:tentative="1">
      <w:start w:val="1"/>
      <w:numFmt w:val="bullet"/>
      <w:lvlText w:val="o"/>
      <w:lvlJc w:val="left"/>
      <w:pPr>
        <w:tabs>
          <w:tab w:val="num" w:pos="2858"/>
        </w:tabs>
        <w:ind w:left="2858" w:hanging="360"/>
      </w:pPr>
      <w:rPr>
        <w:rFonts w:ascii="Courier New" w:hAnsi="Courier New" w:cs="Courier New" w:hint="default"/>
      </w:rPr>
    </w:lvl>
    <w:lvl w:ilvl="2" w:tplc="04090005" w:tentative="1">
      <w:start w:val="1"/>
      <w:numFmt w:val="bullet"/>
      <w:lvlText w:val=""/>
      <w:lvlJc w:val="left"/>
      <w:pPr>
        <w:tabs>
          <w:tab w:val="num" w:pos="3578"/>
        </w:tabs>
        <w:ind w:left="3578" w:hanging="360"/>
      </w:pPr>
      <w:rPr>
        <w:rFonts w:ascii="Wingdings" w:hAnsi="Wingdings" w:hint="default"/>
      </w:rPr>
    </w:lvl>
    <w:lvl w:ilvl="3" w:tplc="04090001" w:tentative="1">
      <w:start w:val="1"/>
      <w:numFmt w:val="bullet"/>
      <w:lvlText w:val=""/>
      <w:lvlJc w:val="left"/>
      <w:pPr>
        <w:tabs>
          <w:tab w:val="num" w:pos="4298"/>
        </w:tabs>
        <w:ind w:left="4298" w:hanging="360"/>
      </w:pPr>
      <w:rPr>
        <w:rFonts w:ascii="Symbol" w:hAnsi="Symbol" w:hint="default"/>
      </w:rPr>
    </w:lvl>
    <w:lvl w:ilvl="4" w:tplc="04090003" w:tentative="1">
      <w:start w:val="1"/>
      <w:numFmt w:val="bullet"/>
      <w:lvlText w:val="o"/>
      <w:lvlJc w:val="left"/>
      <w:pPr>
        <w:tabs>
          <w:tab w:val="num" w:pos="5018"/>
        </w:tabs>
        <w:ind w:left="5018" w:hanging="360"/>
      </w:pPr>
      <w:rPr>
        <w:rFonts w:ascii="Courier New" w:hAnsi="Courier New" w:cs="Courier New" w:hint="default"/>
      </w:rPr>
    </w:lvl>
    <w:lvl w:ilvl="5" w:tplc="04090005" w:tentative="1">
      <w:start w:val="1"/>
      <w:numFmt w:val="bullet"/>
      <w:lvlText w:val=""/>
      <w:lvlJc w:val="left"/>
      <w:pPr>
        <w:tabs>
          <w:tab w:val="num" w:pos="5738"/>
        </w:tabs>
        <w:ind w:left="5738" w:hanging="360"/>
      </w:pPr>
      <w:rPr>
        <w:rFonts w:ascii="Wingdings" w:hAnsi="Wingdings" w:hint="default"/>
      </w:rPr>
    </w:lvl>
    <w:lvl w:ilvl="6" w:tplc="04090001" w:tentative="1">
      <w:start w:val="1"/>
      <w:numFmt w:val="bullet"/>
      <w:lvlText w:val=""/>
      <w:lvlJc w:val="left"/>
      <w:pPr>
        <w:tabs>
          <w:tab w:val="num" w:pos="6458"/>
        </w:tabs>
        <w:ind w:left="6458" w:hanging="360"/>
      </w:pPr>
      <w:rPr>
        <w:rFonts w:ascii="Symbol" w:hAnsi="Symbol" w:hint="default"/>
      </w:rPr>
    </w:lvl>
    <w:lvl w:ilvl="7" w:tplc="04090003" w:tentative="1">
      <w:start w:val="1"/>
      <w:numFmt w:val="bullet"/>
      <w:lvlText w:val="o"/>
      <w:lvlJc w:val="left"/>
      <w:pPr>
        <w:tabs>
          <w:tab w:val="num" w:pos="7178"/>
        </w:tabs>
        <w:ind w:left="7178" w:hanging="360"/>
      </w:pPr>
      <w:rPr>
        <w:rFonts w:ascii="Courier New" w:hAnsi="Courier New" w:cs="Courier New" w:hint="default"/>
      </w:rPr>
    </w:lvl>
    <w:lvl w:ilvl="8" w:tplc="04090005" w:tentative="1">
      <w:start w:val="1"/>
      <w:numFmt w:val="bullet"/>
      <w:lvlText w:val=""/>
      <w:lvlJc w:val="left"/>
      <w:pPr>
        <w:tabs>
          <w:tab w:val="num" w:pos="7898"/>
        </w:tabs>
        <w:ind w:left="7898" w:hanging="360"/>
      </w:pPr>
      <w:rPr>
        <w:rFonts w:ascii="Wingdings" w:hAnsi="Wingdings" w:hint="default"/>
      </w:rPr>
    </w:lvl>
  </w:abstractNum>
  <w:abstractNum w:abstractNumId="3" w15:restartNumberingAfterBreak="0">
    <w:nsid w:val="135E4072"/>
    <w:multiLevelType w:val="singleLevel"/>
    <w:tmpl w:val="190E7144"/>
    <w:lvl w:ilvl="0">
      <w:start w:val="7"/>
      <w:numFmt w:val="decimal"/>
      <w:lvlText w:val="%1."/>
      <w:lvlJc w:val="left"/>
      <w:pPr>
        <w:tabs>
          <w:tab w:val="num" w:pos="720"/>
        </w:tabs>
        <w:ind w:left="720" w:hanging="720"/>
      </w:pPr>
      <w:rPr>
        <w:rFonts w:hint="default"/>
      </w:rPr>
    </w:lvl>
  </w:abstractNum>
  <w:abstractNum w:abstractNumId="4" w15:restartNumberingAfterBreak="0">
    <w:nsid w:val="15691475"/>
    <w:multiLevelType w:val="singleLevel"/>
    <w:tmpl w:val="0413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16020D11"/>
    <w:multiLevelType w:val="hybridMultilevel"/>
    <w:tmpl w:val="8BE44C94"/>
    <w:lvl w:ilvl="0" w:tplc="08090011">
      <w:start w:val="5"/>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B966FE5"/>
    <w:multiLevelType w:val="singleLevel"/>
    <w:tmpl w:val="02C0FA82"/>
    <w:lvl w:ilvl="0">
      <w:start w:val="4"/>
      <w:numFmt w:val="decimal"/>
      <w:lvlText w:val="%1."/>
      <w:lvlJc w:val="left"/>
      <w:pPr>
        <w:tabs>
          <w:tab w:val="num" w:pos="720"/>
        </w:tabs>
        <w:ind w:left="720" w:hanging="720"/>
      </w:pPr>
      <w:rPr>
        <w:rFonts w:hint="default"/>
      </w:rPr>
    </w:lvl>
  </w:abstractNum>
  <w:abstractNum w:abstractNumId="7" w15:restartNumberingAfterBreak="0">
    <w:nsid w:val="218D6185"/>
    <w:multiLevelType w:val="hybridMultilevel"/>
    <w:tmpl w:val="9BC6716A"/>
    <w:lvl w:ilvl="0" w:tplc="08090011">
      <w:start w:val="5"/>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5FA2C24"/>
    <w:multiLevelType w:val="hybridMultilevel"/>
    <w:tmpl w:val="5EA2DFE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9" w15:restartNumberingAfterBreak="0">
    <w:nsid w:val="2AF8390F"/>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10944EA"/>
    <w:multiLevelType w:val="hybridMultilevel"/>
    <w:tmpl w:val="CE367944"/>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1" w15:restartNumberingAfterBreak="0">
    <w:nsid w:val="46FB414C"/>
    <w:multiLevelType w:val="multilevel"/>
    <w:tmpl w:val="813447E0"/>
    <w:lvl w:ilvl="0">
      <w:start w:val="5"/>
      <w:numFmt w:val="decimal"/>
      <w:lvlText w:val="%1"/>
      <w:lvlJc w:val="left"/>
      <w:pPr>
        <w:tabs>
          <w:tab w:val="num" w:pos="1440"/>
        </w:tabs>
        <w:ind w:left="1440" w:hanging="1440"/>
      </w:pPr>
      <w:rPr>
        <w:rFonts w:hint="default"/>
      </w:rPr>
    </w:lvl>
    <w:lvl w:ilvl="1">
      <w:start w:val="1"/>
      <w:numFmt w:val="decimal"/>
      <w:lvlText w:val="%1.%2"/>
      <w:lvlJc w:val="left"/>
      <w:pPr>
        <w:tabs>
          <w:tab w:val="num" w:pos="1680"/>
        </w:tabs>
        <w:ind w:left="1680" w:hanging="1440"/>
      </w:pPr>
      <w:rPr>
        <w:rFonts w:hint="default"/>
      </w:rPr>
    </w:lvl>
    <w:lvl w:ilvl="2">
      <w:start w:val="4"/>
      <w:numFmt w:val="decimal"/>
      <w:lvlText w:val="%1.%2.%3"/>
      <w:lvlJc w:val="left"/>
      <w:pPr>
        <w:tabs>
          <w:tab w:val="num" w:pos="1920"/>
        </w:tabs>
        <w:ind w:left="1920" w:hanging="1440"/>
      </w:pPr>
      <w:rPr>
        <w:rFonts w:hint="default"/>
      </w:rPr>
    </w:lvl>
    <w:lvl w:ilvl="3">
      <w:start w:val="2"/>
      <w:numFmt w:val="decimal"/>
      <w:lvlText w:val="%1.%2.%3.%4"/>
      <w:lvlJc w:val="left"/>
      <w:pPr>
        <w:tabs>
          <w:tab w:val="num" w:pos="2160"/>
        </w:tabs>
        <w:ind w:left="2160" w:hanging="1440"/>
      </w:pPr>
      <w:rPr>
        <w:rFonts w:hint="default"/>
      </w:rPr>
    </w:lvl>
    <w:lvl w:ilvl="4">
      <w:start w:val="1"/>
      <w:numFmt w:val="decimal"/>
      <w:lvlText w:val="%1.%2.%3.%4.%5"/>
      <w:lvlJc w:val="left"/>
      <w:pPr>
        <w:tabs>
          <w:tab w:val="num" w:pos="2400"/>
        </w:tabs>
        <w:ind w:left="2400" w:hanging="1440"/>
      </w:pPr>
      <w:rPr>
        <w:rFonts w:hint="default"/>
      </w:rPr>
    </w:lvl>
    <w:lvl w:ilvl="5">
      <w:start w:val="1"/>
      <w:numFmt w:val="decimal"/>
      <w:lvlText w:val="%1.%2.%3.%4.%5.%6"/>
      <w:lvlJc w:val="left"/>
      <w:pPr>
        <w:tabs>
          <w:tab w:val="num" w:pos="2640"/>
        </w:tabs>
        <w:ind w:left="2640" w:hanging="1440"/>
      </w:pPr>
      <w:rPr>
        <w:rFonts w:hint="default"/>
      </w:rPr>
    </w:lvl>
    <w:lvl w:ilvl="6">
      <w:start w:val="1"/>
      <w:numFmt w:val="decimal"/>
      <w:lvlText w:val="%1.%2.%3.%4.%5.%6.%7"/>
      <w:lvlJc w:val="left"/>
      <w:pPr>
        <w:tabs>
          <w:tab w:val="num" w:pos="2880"/>
        </w:tabs>
        <w:ind w:left="2880" w:hanging="1440"/>
      </w:pPr>
      <w:rPr>
        <w:rFonts w:hint="default"/>
      </w:rPr>
    </w:lvl>
    <w:lvl w:ilvl="7">
      <w:start w:val="1"/>
      <w:numFmt w:val="decimal"/>
      <w:lvlText w:val="%1.%2.%3.%4.%5.%6.%7.%8"/>
      <w:lvlJc w:val="left"/>
      <w:pPr>
        <w:tabs>
          <w:tab w:val="num" w:pos="3120"/>
        </w:tabs>
        <w:ind w:left="3120" w:hanging="1440"/>
      </w:pPr>
      <w:rPr>
        <w:rFonts w:hint="default"/>
      </w:rPr>
    </w:lvl>
    <w:lvl w:ilvl="8">
      <w:start w:val="1"/>
      <w:numFmt w:val="decimal"/>
      <w:lvlText w:val="%1.%2.%3.%4.%5.%6.%7.%8.%9"/>
      <w:lvlJc w:val="left"/>
      <w:pPr>
        <w:tabs>
          <w:tab w:val="num" w:pos="3720"/>
        </w:tabs>
        <w:ind w:left="3720" w:hanging="1800"/>
      </w:pPr>
      <w:rPr>
        <w:rFonts w:hint="default"/>
      </w:rPr>
    </w:lvl>
  </w:abstractNum>
  <w:abstractNum w:abstractNumId="12" w15:restartNumberingAfterBreak="0">
    <w:nsid w:val="4AD93508"/>
    <w:multiLevelType w:val="hybridMultilevel"/>
    <w:tmpl w:val="0B507B50"/>
    <w:lvl w:ilvl="0" w:tplc="08090011">
      <w:start w:val="5"/>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4E9E39DB"/>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52ED0D6F"/>
    <w:multiLevelType w:val="multilevel"/>
    <w:tmpl w:val="1262A8E8"/>
    <w:lvl w:ilvl="0">
      <w:start w:val="6"/>
      <w:numFmt w:val="decimal"/>
      <w:lvlText w:val="%1."/>
      <w:lvlJc w:val="left"/>
      <w:pPr>
        <w:tabs>
          <w:tab w:val="num" w:pos="852"/>
        </w:tabs>
        <w:ind w:left="852" w:hanging="852"/>
      </w:pPr>
      <w:rPr>
        <w:rFonts w:hint="default"/>
      </w:rPr>
    </w:lvl>
    <w:lvl w:ilvl="1">
      <w:start w:val="1"/>
      <w:numFmt w:val="decimal"/>
      <w:lvlText w:val="%1.%2."/>
      <w:lvlJc w:val="left"/>
      <w:pPr>
        <w:tabs>
          <w:tab w:val="num" w:pos="852"/>
        </w:tabs>
        <w:ind w:left="852" w:hanging="852"/>
      </w:pPr>
      <w:rPr>
        <w:rFonts w:hint="default"/>
      </w:rPr>
    </w:lvl>
    <w:lvl w:ilvl="2">
      <w:start w:val="4"/>
      <w:numFmt w:val="decimal"/>
      <w:lvlText w:val="%1.%2.%3."/>
      <w:lvlJc w:val="left"/>
      <w:pPr>
        <w:tabs>
          <w:tab w:val="num" w:pos="852"/>
        </w:tabs>
        <w:ind w:left="852" w:hanging="852"/>
      </w:pPr>
      <w:rPr>
        <w:rFonts w:hint="default"/>
      </w:rPr>
    </w:lvl>
    <w:lvl w:ilvl="3">
      <w:start w:val="1"/>
      <w:numFmt w:val="decimal"/>
      <w:lvlText w:val="%1.%2.%3.%4."/>
      <w:lvlJc w:val="left"/>
      <w:pPr>
        <w:tabs>
          <w:tab w:val="num" w:pos="852"/>
        </w:tabs>
        <w:ind w:left="852" w:hanging="852"/>
      </w:pPr>
      <w:rPr>
        <w:rFonts w:hint="default"/>
      </w:rPr>
    </w:lvl>
    <w:lvl w:ilvl="4">
      <w:start w:val="1"/>
      <w:numFmt w:val="decimal"/>
      <w:lvlText w:val="%1.%2.%3.%4.%5."/>
      <w:lvlJc w:val="left"/>
      <w:pPr>
        <w:tabs>
          <w:tab w:val="num" w:pos="852"/>
        </w:tabs>
        <w:ind w:left="852" w:hanging="852"/>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5" w15:restartNumberingAfterBreak="0">
    <w:nsid w:val="783D7C33"/>
    <w:multiLevelType w:val="singleLevel"/>
    <w:tmpl w:val="0413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7F7B5A6C"/>
    <w:multiLevelType w:val="singleLevel"/>
    <w:tmpl w:val="0413000F"/>
    <w:lvl w:ilvl="0">
      <w:start w:val="5"/>
      <w:numFmt w:val="decimal"/>
      <w:lvlText w:val="%1."/>
      <w:legacy w:legacy="1" w:legacySpace="120" w:legacyIndent="360"/>
      <w:lvlJc w:val="left"/>
      <w:pPr>
        <w:ind w:left="360" w:hanging="360"/>
      </w:pPr>
    </w:lvl>
  </w:abstractNum>
  <w:num w:numId="1" w16cid:durableId="1922107241">
    <w:abstractNumId w:val="16"/>
  </w:num>
  <w:num w:numId="2" w16cid:durableId="498274034">
    <w:abstractNumId w:val="11"/>
  </w:num>
  <w:num w:numId="3" w16cid:durableId="871041339">
    <w:abstractNumId w:val="3"/>
  </w:num>
  <w:num w:numId="4" w16cid:durableId="225915454">
    <w:abstractNumId w:val="6"/>
  </w:num>
  <w:num w:numId="5" w16cid:durableId="952178298">
    <w:abstractNumId w:val="14"/>
  </w:num>
  <w:num w:numId="6" w16cid:durableId="1347906654">
    <w:abstractNumId w:val="2"/>
  </w:num>
  <w:num w:numId="7" w16cid:durableId="1941334205">
    <w:abstractNumId w:val="0"/>
  </w:num>
  <w:num w:numId="8" w16cid:durableId="187135730">
    <w:abstractNumId w:val="13"/>
  </w:num>
  <w:num w:numId="9" w16cid:durableId="1573269620">
    <w:abstractNumId w:val="4"/>
  </w:num>
  <w:num w:numId="10" w16cid:durableId="1521579313">
    <w:abstractNumId w:val="15"/>
  </w:num>
  <w:num w:numId="11" w16cid:durableId="2090149743">
    <w:abstractNumId w:val="1"/>
    <w:lvlOverride w:ilvl="0">
      <w:startOverride w:val="8"/>
    </w:lvlOverride>
  </w:num>
  <w:num w:numId="12" w16cid:durableId="1009791818">
    <w:abstractNumId w:val="9"/>
  </w:num>
  <w:num w:numId="13" w16cid:durableId="44373069">
    <w:abstractNumId w:val="5"/>
  </w:num>
  <w:num w:numId="14" w16cid:durableId="796726073">
    <w:abstractNumId w:val="7"/>
  </w:num>
  <w:num w:numId="15" w16cid:durableId="841700891">
    <w:abstractNumId w:val="12"/>
  </w:num>
  <w:num w:numId="16" w16cid:durableId="274873088">
    <w:abstractNumId w:val="8"/>
  </w:num>
  <w:num w:numId="17" w16cid:durableId="101168029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25E4"/>
    <w:rsid w:val="0000545D"/>
    <w:rsid w:val="00006BE3"/>
    <w:rsid w:val="00015439"/>
    <w:rsid w:val="00042F74"/>
    <w:rsid w:val="0004563B"/>
    <w:rsid w:val="00060581"/>
    <w:rsid w:val="00060DDB"/>
    <w:rsid w:val="00065662"/>
    <w:rsid w:val="000713C9"/>
    <w:rsid w:val="00090690"/>
    <w:rsid w:val="000A1B52"/>
    <w:rsid w:val="000B68A5"/>
    <w:rsid w:val="000C1206"/>
    <w:rsid w:val="000D2B40"/>
    <w:rsid w:val="000E42B9"/>
    <w:rsid w:val="000E6027"/>
    <w:rsid w:val="000F0F9D"/>
    <w:rsid w:val="000F16B4"/>
    <w:rsid w:val="000F5FAF"/>
    <w:rsid w:val="000F601E"/>
    <w:rsid w:val="00111FE1"/>
    <w:rsid w:val="00113965"/>
    <w:rsid w:val="0012015E"/>
    <w:rsid w:val="001208A4"/>
    <w:rsid w:val="00123EB9"/>
    <w:rsid w:val="00125563"/>
    <w:rsid w:val="0013000D"/>
    <w:rsid w:val="00147256"/>
    <w:rsid w:val="0016017E"/>
    <w:rsid w:val="00164045"/>
    <w:rsid w:val="0018358C"/>
    <w:rsid w:val="00185BA4"/>
    <w:rsid w:val="0019397B"/>
    <w:rsid w:val="001A4BBB"/>
    <w:rsid w:val="001B55FD"/>
    <w:rsid w:val="001C4826"/>
    <w:rsid w:val="001C5369"/>
    <w:rsid w:val="001D62C7"/>
    <w:rsid w:val="001E13FC"/>
    <w:rsid w:val="001E324F"/>
    <w:rsid w:val="00201D45"/>
    <w:rsid w:val="00214D5D"/>
    <w:rsid w:val="00220679"/>
    <w:rsid w:val="00221D9F"/>
    <w:rsid w:val="0023208E"/>
    <w:rsid w:val="00256E06"/>
    <w:rsid w:val="0025774E"/>
    <w:rsid w:val="00284CBC"/>
    <w:rsid w:val="00290430"/>
    <w:rsid w:val="0029339F"/>
    <w:rsid w:val="00297549"/>
    <w:rsid w:val="002B6DA5"/>
    <w:rsid w:val="002D5F2C"/>
    <w:rsid w:val="002E25E4"/>
    <w:rsid w:val="002E3A6B"/>
    <w:rsid w:val="00312C60"/>
    <w:rsid w:val="003230ED"/>
    <w:rsid w:val="003311C9"/>
    <w:rsid w:val="003332A4"/>
    <w:rsid w:val="00353C79"/>
    <w:rsid w:val="003569CB"/>
    <w:rsid w:val="00357903"/>
    <w:rsid w:val="00364D51"/>
    <w:rsid w:val="003857F4"/>
    <w:rsid w:val="003C0B2E"/>
    <w:rsid w:val="003D464C"/>
    <w:rsid w:val="003F36ED"/>
    <w:rsid w:val="004039D1"/>
    <w:rsid w:val="0041048C"/>
    <w:rsid w:val="004221F3"/>
    <w:rsid w:val="0043192B"/>
    <w:rsid w:val="00436E3C"/>
    <w:rsid w:val="004426EA"/>
    <w:rsid w:val="00445D42"/>
    <w:rsid w:val="00447394"/>
    <w:rsid w:val="00450C48"/>
    <w:rsid w:val="00452225"/>
    <w:rsid w:val="00454C89"/>
    <w:rsid w:val="00464C72"/>
    <w:rsid w:val="004670CE"/>
    <w:rsid w:val="004712C6"/>
    <w:rsid w:val="00471BB7"/>
    <w:rsid w:val="0047624D"/>
    <w:rsid w:val="004820BE"/>
    <w:rsid w:val="00482CDE"/>
    <w:rsid w:val="0048382E"/>
    <w:rsid w:val="00483A78"/>
    <w:rsid w:val="004841D4"/>
    <w:rsid w:val="004A1DE8"/>
    <w:rsid w:val="004A4B45"/>
    <w:rsid w:val="004A5E6F"/>
    <w:rsid w:val="004B7E66"/>
    <w:rsid w:val="004C15FA"/>
    <w:rsid w:val="004C1DD8"/>
    <w:rsid w:val="004C31D3"/>
    <w:rsid w:val="004C69B6"/>
    <w:rsid w:val="00502ED2"/>
    <w:rsid w:val="005173B4"/>
    <w:rsid w:val="00522D59"/>
    <w:rsid w:val="00525CD0"/>
    <w:rsid w:val="00534E0C"/>
    <w:rsid w:val="00540759"/>
    <w:rsid w:val="0054790D"/>
    <w:rsid w:val="005516FA"/>
    <w:rsid w:val="005579ED"/>
    <w:rsid w:val="0056265E"/>
    <w:rsid w:val="00566F0D"/>
    <w:rsid w:val="00580137"/>
    <w:rsid w:val="00594647"/>
    <w:rsid w:val="0059712D"/>
    <w:rsid w:val="005A672C"/>
    <w:rsid w:val="005B2025"/>
    <w:rsid w:val="005B22C5"/>
    <w:rsid w:val="005C29A3"/>
    <w:rsid w:val="005E1CAB"/>
    <w:rsid w:val="005F0F24"/>
    <w:rsid w:val="005F1677"/>
    <w:rsid w:val="005F421F"/>
    <w:rsid w:val="006014DB"/>
    <w:rsid w:val="00607AA1"/>
    <w:rsid w:val="00620477"/>
    <w:rsid w:val="0063606A"/>
    <w:rsid w:val="00646287"/>
    <w:rsid w:val="00664676"/>
    <w:rsid w:val="00664707"/>
    <w:rsid w:val="006720F3"/>
    <w:rsid w:val="0068213C"/>
    <w:rsid w:val="00693646"/>
    <w:rsid w:val="00693E66"/>
    <w:rsid w:val="0069564D"/>
    <w:rsid w:val="006A1B3A"/>
    <w:rsid w:val="006B11C5"/>
    <w:rsid w:val="006B1E27"/>
    <w:rsid w:val="006D65BA"/>
    <w:rsid w:val="00700D7C"/>
    <w:rsid w:val="007033C4"/>
    <w:rsid w:val="00705A4C"/>
    <w:rsid w:val="00710EB3"/>
    <w:rsid w:val="00710F81"/>
    <w:rsid w:val="00717AEE"/>
    <w:rsid w:val="00720BA0"/>
    <w:rsid w:val="00722C64"/>
    <w:rsid w:val="00737E18"/>
    <w:rsid w:val="007438A1"/>
    <w:rsid w:val="00745F60"/>
    <w:rsid w:val="00762180"/>
    <w:rsid w:val="00762198"/>
    <w:rsid w:val="00763A7D"/>
    <w:rsid w:val="00791235"/>
    <w:rsid w:val="00791ED9"/>
    <w:rsid w:val="007955C3"/>
    <w:rsid w:val="007B2360"/>
    <w:rsid w:val="007B6622"/>
    <w:rsid w:val="007C36B2"/>
    <w:rsid w:val="007C5241"/>
    <w:rsid w:val="007D2E98"/>
    <w:rsid w:val="008455F8"/>
    <w:rsid w:val="00846398"/>
    <w:rsid w:val="0088577D"/>
    <w:rsid w:val="0089601D"/>
    <w:rsid w:val="00896A32"/>
    <w:rsid w:val="008A5E7E"/>
    <w:rsid w:val="008C16C0"/>
    <w:rsid w:val="008C2977"/>
    <w:rsid w:val="008D3FD7"/>
    <w:rsid w:val="008F2473"/>
    <w:rsid w:val="00912DDD"/>
    <w:rsid w:val="009219A6"/>
    <w:rsid w:val="0093471E"/>
    <w:rsid w:val="00954D46"/>
    <w:rsid w:val="0096185A"/>
    <w:rsid w:val="00962F47"/>
    <w:rsid w:val="00984BC3"/>
    <w:rsid w:val="0099689B"/>
    <w:rsid w:val="009A13C7"/>
    <w:rsid w:val="009A164B"/>
    <w:rsid w:val="009A6D76"/>
    <w:rsid w:val="009B13D7"/>
    <w:rsid w:val="009B2C9E"/>
    <w:rsid w:val="009D21FC"/>
    <w:rsid w:val="00A060B5"/>
    <w:rsid w:val="00A147C3"/>
    <w:rsid w:val="00A14B6B"/>
    <w:rsid w:val="00A15E8A"/>
    <w:rsid w:val="00A21465"/>
    <w:rsid w:val="00A22BA5"/>
    <w:rsid w:val="00A33D87"/>
    <w:rsid w:val="00A6052D"/>
    <w:rsid w:val="00A76AF8"/>
    <w:rsid w:val="00A82D95"/>
    <w:rsid w:val="00A97AAE"/>
    <w:rsid w:val="00AA0074"/>
    <w:rsid w:val="00AA6452"/>
    <w:rsid w:val="00AC0818"/>
    <w:rsid w:val="00AD4814"/>
    <w:rsid w:val="00AE241B"/>
    <w:rsid w:val="00AF6039"/>
    <w:rsid w:val="00B0537D"/>
    <w:rsid w:val="00B2377C"/>
    <w:rsid w:val="00B3147D"/>
    <w:rsid w:val="00B462F6"/>
    <w:rsid w:val="00B56CAF"/>
    <w:rsid w:val="00B60D36"/>
    <w:rsid w:val="00B62F86"/>
    <w:rsid w:val="00B753EE"/>
    <w:rsid w:val="00B80B77"/>
    <w:rsid w:val="00B81BA5"/>
    <w:rsid w:val="00B91266"/>
    <w:rsid w:val="00B92334"/>
    <w:rsid w:val="00B940DF"/>
    <w:rsid w:val="00B97F76"/>
    <w:rsid w:val="00BB5B77"/>
    <w:rsid w:val="00BC29A4"/>
    <w:rsid w:val="00BE6C98"/>
    <w:rsid w:val="00C12C11"/>
    <w:rsid w:val="00C3249E"/>
    <w:rsid w:val="00C3308A"/>
    <w:rsid w:val="00C445CB"/>
    <w:rsid w:val="00C50193"/>
    <w:rsid w:val="00C5227B"/>
    <w:rsid w:val="00C52C41"/>
    <w:rsid w:val="00C67CAC"/>
    <w:rsid w:val="00C8129E"/>
    <w:rsid w:val="00C95723"/>
    <w:rsid w:val="00C96D7F"/>
    <w:rsid w:val="00CA2C5C"/>
    <w:rsid w:val="00CB0D0F"/>
    <w:rsid w:val="00CC5E6E"/>
    <w:rsid w:val="00CD21D3"/>
    <w:rsid w:val="00CF2939"/>
    <w:rsid w:val="00CF59BA"/>
    <w:rsid w:val="00D003C9"/>
    <w:rsid w:val="00D04C16"/>
    <w:rsid w:val="00D142D0"/>
    <w:rsid w:val="00D15841"/>
    <w:rsid w:val="00D23C11"/>
    <w:rsid w:val="00D24064"/>
    <w:rsid w:val="00D341E5"/>
    <w:rsid w:val="00D376DC"/>
    <w:rsid w:val="00D46934"/>
    <w:rsid w:val="00D56DFD"/>
    <w:rsid w:val="00D67EF9"/>
    <w:rsid w:val="00D70612"/>
    <w:rsid w:val="00D77315"/>
    <w:rsid w:val="00D861DA"/>
    <w:rsid w:val="00D90E24"/>
    <w:rsid w:val="00D91EC6"/>
    <w:rsid w:val="00D92F21"/>
    <w:rsid w:val="00DA007F"/>
    <w:rsid w:val="00DC2675"/>
    <w:rsid w:val="00DC47F8"/>
    <w:rsid w:val="00DD7351"/>
    <w:rsid w:val="00E0080C"/>
    <w:rsid w:val="00E011B8"/>
    <w:rsid w:val="00E0325F"/>
    <w:rsid w:val="00E35E94"/>
    <w:rsid w:val="00E3722C"/>
    <w:rsid w:val="00E44014"/>
    <w:rsid w:val="00E60F8B"/>
    <w:rsid w:val="00E66454"/>
    <w:rsid w:val="00E66EBC"/>
    <w:rsid w:val="00E731AF"/>
    <w:rsid w:val="00E83154"/>
    <w:rsid w:val="00EA54D4"/>
    <w:rsid w:val="00EB7E54"/>
    <w:rsid w:val="00EC0C24"/>
    <w:rsid w:val="00EE407D"/>
    <w:rsid w:val="00EE5C3C"/>
    <w:rsid w:val="00EF388B"/>
    <w:rsid w:val="00EF4DFF"/>
    <w:rsid w:val="00F06993"/>
    <w:rsid w:val="00F11446"/>
    <w:rsid w:val="00F115F2"/>
    <w:rsid w:val="00F175A6"/>
    <w:rsid w:val="00F247D1"/>
    <w:rsid w:val="00F40896"/>
    <w:rsid w:val="00F4235F"/>
    <w:rsid w:val="00F42969"/>
    <w:rsid w:val="00F509A7"/>
    <w:rsid w:val="00F57A09"/>
    <w:rsid w:val="00F60786"/>
    <w:rsid w:val="00F6461A"/>
    <w:rsid w:val="00F64751"/>
    <w:rsid w:val="00F73C74"/>
    <w:rsid w:val="00F82809"/>
    <w:rsid w:val="00F92D79"/>
    <w:rsid w:val="00FA26EB"/>
    <w:rsid w:val="00FB34B3"/>
    <w:rsid w:val="00FD72B0"/>
    <w:rsid w:val="00FD7827"/>
    <w:rsid w:val="00FE06EF"/>
    <w:rsid w:val="00FE4C7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4AA34E4"/>
  <w15:docId w15:val="{098FD686-7607-4EAB-A9A8-56F7554EB2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News Gothic" w:hAnsi="News Gothic"/>
      <w:lang w:val="en-GB"/>
    </w:rPr>
  </w:style>
  <w:style w:type="paragraph" w:styleId="Heading1">
    <w:name w:val="heading 1"/>
    <w:basedOn w:val="Normal"/>
    <w:next w:val="Normal"/>
    <w:qFormat/>
    <w:pPr>
      <w:keepNext/>
      <w:spacing w:before="240" w:after="60"/>
      <w:outlineLvl w:val="0"/>
    </w:pPr>
    <w:rPr>
      <w:b/>
      <w:kern w:val="28"/>
      <w:sz w:val="28"/>
    </w:rPr>
  </w:style>
  <w:style w:type="paragraph" w:styleId="Heading2">
    <w:name w:val="heading 2"/>
    <w:basedOn w:val="Normal"/>
    <w:next w:val="Normal"/>
    <w:qFormat/>
    <w:pPr>
      <w:keepNext/>
      <w:spacing w:before="240" w:after="60"/>
      <w:outlineLvl w:val="1"/>
    </w:pPr>
    <w:rPr>
      <w:b/>
      <w:i/>
      <w:sz w:val="24"/>
    </w:rPr>
  </w:style>
  <w:style w:type="paragraph" w:styleId="Heading3">
    <w:name w:val="heading 3"/>
    <w:basedOn w:val="Normal"/>
    <w:next w:val="Normal"/>
    <w:qFormat/>
    <w:pPr>
      <w:keepNext/>
      <w:spacing w:before="240" w:after="60"/>
      <w:outlineLvl w:val="2"/>
    </w:pPr>
    <w:rPr>
      <w:sz w:val="24"/>
    </w:rPr>
  </w:style>
  <w:style w:type="paragraph" w:styleId="Heading4">
    <w:name w:val="heading 4"/>
    <w:basedOn w:val="Normal"/>
    <w:next w:val="Normal"/>
    <w:qFormat/>
    <w:pPr>
      <w:keepNext/>
      <w:spacing w:before="240" w:after="60"/>
      <w:outlineLvl w:val="3"/>
    </w:pPr>
    <w:rPr>
      <w:b/>
      <w:sz w:val="24"/>
    </w:rPr>
  </w:style>
  <w:style w:type="paragraph" w:styleId="Heading5">
    <w:name w:val="heading 5"/>
    <w:basedOn w:val="Normal"/>
    <w:next w:val="Normal"/>
    <w:link w:val="Heading5Char"/>
    <w:qFormat/>
    <w:pPr>
      <w:keepNext/>
      <w:outlineLvl w:val="4"/>
    </w:pPr>
    <w:rPr>
      <w:b/>
    </w:rPr>
  </w:style>
  <w:style w:type="paragraph" w:styleId="Heading6">
    <w:name w:val="heading 6"/>
    <w:basedOn w:val="Normal"/>
    <w:next w:val="Normal"/>
    <w:qFormat/>
    <w:pPr>
      <w:spacing w:before="240" w:after="60"/>
      <w:outlineLvl w:val="5"/>
    </w:pPr>
    <w:rPr>
      <w:i/>
      <w:sz w:val="22"/>
    </w:rPr>
  </w:style>
  <w:style w:type="paragraph" w:styleId="Heading7">
    <w:name w:val="heading 7"/>
    <w:basedOn w:val="Normal"/>
    <w:next w:val="Normal"/>
    <w:qFormat/>
    <w:pPr>
      <w:spacing w:before="240" w:after="60"/>
      <w:outlineLvl w:val="6"/>
    </w:pPr>
  </w:style>
  <w:style w:type="paragraph" w:styleId="Heading8">
    <w:name w:val="heading 8"/>
    <w:basedOn w:val="Normal"/>
    <w:next w:val="Normal"/>
    <w:qFormat/>
    <w:pPr>
      <w:spacing w:before="240" w:after="60"/>
      <w:outlineLvl w:val="7"/>
    </w:pPr>
    <w:rPr>
      <w:i/>
    </w:rPr>
  </w:style>
  <w:style w:type="paragraph" w:styleId="Heading9">
    <w:name w:val="heading 9"/>
    <w:basedOn w:val="Normal"/>
    <w:next w:val="Normal"/>
    <w:qFormat/>
    <w:p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Index1">
    <w:name w:val="index 1"/>
    <w:basedOn w:val="Normal"/>
    <w:next w:val="Normal"/>
    <w:autoRedefine/>
    <w:semiHidden/>
    <w:pPr>
      <w:ind w:left="200" w:hanging="200"/>
    </w:pPr>
  </w:style>
  <w:style w:type="paragraph" w:styleId="IndexHeading">
    <w:name w:val="index heading"/>
    <w:basedOn w:val="Normal"/>
    <w:next w:val="Index1"/>
    <w:semiHidden/>
    <w:rPr>
      <w:b/>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sz w:val="24"/>
    </w:rPr>
  </w:style>
  <w:style w:type="paragraph" w:styleId="Subtitle">
    <w:name w:val="Subtitle"/>
    <w:basedOn w:val="Normal"/>
    <w:qFormat/>
    <w:pPr>
      <w:spacing w:after="60"/>
      <w:jc w:val="center"/>
      <w:outlineLvl w:val="1"/>
    </w:pPr>
    <w:rPr>
      <w:sz w:val="24"/>
    </w:rPr>
  </w:style>
  <w:style w:type="paragraph" w:styleId="Title">
    <w:name w:val="Title"/>
    <w:basedOn w:val="Normal"/>
    <w:qFormat/>
    <w:pPr>
      <w:spacing w:before="240" w:after="60"/>
      <w:jc w:val="center"/>
      <w:outlineLvl w:val="0"/>
    </w:pPr>
    <w:rPr>
      <w:b/>
      <w:kern w:val="28"/>
      <w:sz w:val="32"/>
    </w:rPr>
  </w:style>
  <w:style w:type="paragraph" w:styleId="TOAHeading">
    <w:name w:val="toa heading"/>
    <w:basedOn w:val="Normal"/>
    <w:next w:val="Normal"/>
    <w:semiHidden/>
    <w:pPr>
      <w:spacing w:before="120"/>
    </w:pPr>
    <w:rPr>
      <w:b/>
      <w:sz w:val="24"/>
    </w:rPr>
  </w:style>
  <w:style w:type="character" w:styleId="EndnoteReference">
    <w:name w:val="endnote reference"/>
    <w:semiHidden/>
    <w:rPr>
      <w:vertAlign w:val="superscript"/>
    </w:rPr>
  </w:style>
  <w:style w:type="paragraph" w:styleId="EnvelopeAddress">
    <w:name w:val="envelope address"/>
    <w:basedOn w:val="Normal"/>
    <w:pPr>
      <w:framePr w:w="7920" w:h="1980" w:hRule="exact" w:hSpace="180" w:wrap="auto" w:hAnchor="page" w:xAlign="center" w:yAlign="bottom"/>
      <w:ind w:left="2880"/>
    </w:pPr>
    <w:rPr>
      <w:sz w:val="24"/>
    </w:rPr>
  </w:style>
  <w:style w:type="paragraph" w:styleId="EnvelopeReturn">
    <w:name w:val="envelope return"/>
    <w:basedOn w:val="Normal"/>
  </w:style>
  <w:style w:type="character" w:styleId="FootnoteReference">
    <w:name w:val="footnote reference"/>
    <w:semiHidden/>
    <w:rPr>
      <w:vertAlign w:val="superscript"/>
    </w:rPr>
  </w:style>
  <w:style w:type="character" w:styleId="PageNumber">
    <w:name w:val="page number"/>
    <w:basedOn w:val="DefaultParagraphFont"/>
  </w:style>
  <w:style w:type="paragraph" w:styleId="BodyText">
    <w:name w:val="Body Text"/>
    <w:basedOn w:val="Normal"/>
    <w:rPr>
      <w:rFonts w:ascii="Arial" w:hAnsi="Arial"/>
      <w:sz w:val="22"/>
      <w:lang w:val="nl-NL"/>
    </w:rPr>
  </w:style>
  <w:style w:type="paragraph" w:styleId="BodyText2">
    <w:name w:val="Body Text 2"/>
    <w:basedOn w:val="Normal"/>
    <w:rPr>
      <w:b/>
      <w:sz w:val="22"/>
      <w:lang w:val="nl-NL"/>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paragraph" w:styleId="BodyTextIndent">
    <w:name w:val="Body Text Indent"/>
    <w:basedOn w:val="Normal"/>
    <w:pPr>
      <w:ind w:left="851"/>
    </w:pPr>
    <w:rPr>
      <w:sz w:val="22"/>
    </w:rPr>
  </w:style>
  <w:style w:type="paragraph" w:styleId="BodyTextIndent2">
    <w:name w:val="Body Text Indent 2"/>
    <w:basedOn w:val="Normal"/>
    <w:pPr>
      <w:ind w:left="851" w:hanging="851"/>
    </w:pPr>
    <w:rPr>
      <w:sz w:val="22"/>
      <w:lang w:val="nl-NL"/>
    </w:rPr>
  </w:style>
  <w:style w:type="character" w:styleId="CommentReference">
    <w:name w:val="annotation reference"/>
    <w:semiHidden/>
    <w:rsid w:val="00FE06EF"/>
    <w:rPr>
      <w:sz w:val="16"/>
      <w:szCs w:val="16"/>
    </w:rPr>
  </w:style>
  <w:style w:type="paragraph" w:styleId="CommentText">
    <w:name w:val="annotation text"/>
    <w:basedOn w:val="Normal"/>
    <w:semiHidden/>
    <w:rsid w:val="00FE06EF"/>
  </w:style>
  <w:style w:type="paragraph" w:styleId="CommentSubject">
    <w:name w:val="annotation subject"/>
    <w:basedOn w:val="CommentText"/>
    <w:next w:val="CommentText"/>
    <w:semiHidden/>
    <w:rsid w:val="00FE06EF"/>
    <w:rPr>
      <w:b/>
      <w:bCs/>
    </w:rPr>
  </w:style>
  <w:style w:type="paragraph" w:styleId="BalloonText">
    <w:name w:val="Balloon Text"/>
    <w:basedOn w:val="Normal"/>
    <w:semiHidden/>
    <w:rsid w:val="00FE06EF"/>
    <w:rPr>
      <w:rFonts w:ascii="Tahoma" w:hAnsi="Tahoma" w:cs="Tahoma"/>
      <w:sz w:val="16"/>
      <w:szCs w:val="16"/>
    </w:rPr>
  </w:style>
  <w:style w:type="paragraph" w:styleId="BodyTextIndent3">
    <w:name w:val="Body Text Indent 3"/>
    <w:basedOn w:val="Normal"/>
    <w:link w:val="BodyTextIndent3Char"/>
    <w:rsid w:val="00F42969"/>
    <w:pPr>
      <w:spacing w:after="120"/>
      <w:ind w:left="283"/>
    </w:pPr>
    <w:rPr>
      <w:sz w:val="16"/>
      <w:szCs w:val="16"/>
    </w:rPr>
  </w:style>
  <w:style w:type="character" w:customStyle="1" w:styleId="BodyTextIndent3Char">
    <w:name w:val="Body Text Indent 3 Char"/>
    <w:link w:val="BodyTextIndent3"/>
    <w:rsid w:val="00F42969"/>
    <w:rPr>
      <w:rFonts w:ascii="News Gothic" w:hAnsi="News Gothic"/>
      <w:sz w:val="16"/>
      <w:szCs w:val="16"/>
      <w:lang w:eastAsia="nl-NL"/>
    </w:rPr>
  </w:style>
  <w:style w:type="character" w:customStyle="1" w:styleId="Heading5Char">
    <w:name w:val="Heading 5 Char"/>
    <w:link w:val="Heading5"/>
    <w:rsid w:val="00F42969"/>
    <w:rPr>
      <w:rFonts w:ascii="News Gothic" w:hAnsi="News Gothic"/>
      <w:b/>
      <w:lang w:eastAsia="nl-NL"/>
    </w:rPr>
  </w:style>
  <w:style w:type="paragraph" w:styleId="ListParagraph">
    <w:name w:val="List Paragraph"/>
    <w:basedOn w:val="Normal"/>
    <w:uiPriority w:val="34"/>
    <w:qFormat/>
    <w:rsid w:val="00B0537D"/>
    <w:pPr>
      <w:ind w:left="720"/>
      <w:contextualSpacing/>
    </w:pPr>
  </w:style>
  <w:style w:type="paragraph" w:styleId="Revision">
    <w:name w:val="Revision"/>
    <w:hidden/>
    <w:uiPriority w:val="99"/>
    <w:semiHidden/>
    <w:rsid w:val="0056265E"/>
    <w:rPr>
      <w:rFonts w:ascii="News Gothic" w:hAnsi="News Gothic"/>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5423768">
      <w:bodyDiv w:val="1"/>
      <w:marLeft w:val="0"/>
      <w:marRight w:val="0"/>
      <w:marTop w:val="0"/>
      <w:marBottom w:val="0"/>
      <w:divBdr>
        <w:top w:val="none" w:sz="0" w:space="0" w:color="auto"/>
        <w:left w:val="none" w:sz="0" w:space="0" w:color="auto"/>
        <w:bottom w:val="none" w:sz="0" w:space="0" w:color="auto"/>
        <w:right w:val="none" w:sz="0" w:space="0" w:color="auto"/>
      </w:divBdr>
    </w:div>
    <w:div w:id="610018135">
      <w:bodyDiv w:val="1"/>
      <w:marLeft w:val="0"/>
      <w:marRight w:val="0"/>
      <w:marTop w:val="0"/>
      <w:marBottom w:val="0"/>
      <w:divBdr>
        <w:top w:val="none" w:sz="0" w:space="0" w:color="auto"/>
        <w:left w:val="none" w:sz="0" w:space="0" w:color="auto"/>
        <w:bottom w:val="none" w:sz="0" w:space="0" w:color="auto"/>
        <w:right w:val="none" w:sz="0" w:space="0" w:color="auto"/>
      </w:divBdr>
    </w:div>
    <w:div w:id="1433238002">
      <w:bodyDiv w:val="1"/>
      <w:marLeft w:val="0"/>
      <w:marRight w:val="0"/>
      <w:marTop w:val="0"/>
      <w:marBottom w:val="0"/>
      <w:divBdr>
        <w:top w:val="none" w:sz="0" w:space="0" w:color="auto"/>
        <w:left w:val="none" w:sz="0" w:space="0" w:color="auto"/>
        <w:bottom w:val="none" w:sz="0" w:space="0" w:color="auto"/>
        <w:right w:val="none" w:sz="0" w:space="0" w:color="auto"/>
      </w:divBdr>
    </w:div>
    <w:div w:id="2042826790">
      <w:bodyDiv w:val="1"/>
      <w:marLeft w:val="0"/>
      <w:marRight w:val="0"/>
      <w:marTop w:val="0"/>
      <w:marBottom w:val="0"/>
      <w:divBdr>
        <w:top w:val="none" w:sz="0" w:space="0" w:color="auto"/>
        <w:left w:val="none" w:sz="0" w:space="0" w:color="auto"/>
        <w:bottom w:val="none" w:sz="0" w:space="0" w:color="auto"/>
        <w:right w:val="none" w:sz="0" w:space="0" w:color="auto"/>
      </w:divBdr>
    </w:div>
    <w:div w:id="2116513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002C1BFA010EC348B0FD8DCF6EE80F01" ma:contentTypeVersion="20" ma:contentTypeDescription="Create a new document." ma:contentTypeScope="" ma:versionID="01fa6e2a26f30685132266c99a2f549e">
  <xsd:schema xmlns:xsd="http://www.w3.org/2001/XMLSchema" xmlns:xs="http://www.w3.org/2001/XMLSchema" xmlns:p="http://schemas.microsoft.com/office/2006/metadata/properties" xmlns:ns2="e4f92987-d5d0-4c41-8e71-adcfb396ff32" xmlns:ns3="3b7f2327-94dc-4ba1-88cd-b689d1c77972" targetNamespace="http://schemas.microsoft.com/office/2006/metadata/properties" ma:root="true" ma:fieldsID="4e260e798e6251d9b29de0720df0edd2" ns2:_="" ns3:_="">
    <xsd:import namespace="e4f92987-d5d0-4c41-8e71-adcfb396ff32"/>
    <xsd:import namespace="3b7f2327-94dc-4ba1-88cd-b689d1c7797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OCR" minOccurs="0"/>
                <xsd:element ref="ns2:MediaServiceLocatio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f92987-d5d0-4c41-8e71-adcfb396ff3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1616629-9183-4d38-9e3a-f9db27d53a2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b7f2327-94dc-4ba1-88cd-b689d1c77972"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6786fd7b-ea76-4607-8b4d-8baf548b75ac}" ma:internalName="TaxCatchAll" ma:showField="CatchAllData" ma:web="3b7f2327-94dc-4ba1-88cd-b689d1c7797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987B015-9019-4347-A838-32CC6C953AA2}">
  <ds:schemaRefs>
    <ds:schemaRef ds:uri="http://schemas.openxmlformats.org/officeDocument/2006/bibliography"/>
  </ds:schemaRefs>
</ds:datastoreItem>
</file>

<file path=customXml/itemProps2.xml><?xml version="1.0" encoding="utf-8"?>
<ds:datastoreItem xmlns:ds="http://schemas.openxmlformats.org/officeDocument/2006/customXml" ds:itemID="{F4CBD56B-A991-428F-BDE1-31069DE087C4}"/>
</file>

<file path=customXml/itemProps3.xml><?xml version="1.0" encoding="utf-8"?>
<ds:datastoreItem xmlns:ds="http://schemas.openxmlformats.org/officeDocument/2006/customXml" ds:itemID="{794CE6ED-E52A-4281-B922-5FA1F1A43129}"/>
</file>

<file path=docProps/app.xml><?xml version="1.0" encoding="utf-8"?>
<Properties xmlns="http://schemas.openxmlformats.org/officeDocument/2006/extended-properties" xmlns:vt="http://schemas.openxmlformats.org/officeDocument/2006/docPropsVTypes">
  <Template>Normal.dotm</Template>
  <TotalTime>4</TotalTime>
  <Pages>2</Pages>
  <Words>701</Words>
  <Characters>3999</Characters>
  <Application>Microsoft Office Word</Application>
  <DocSecurity>0</DocSecurity>
  <Lines>33</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corr 6.1.4.1</vt:lpstr>
      <vt:lpstr>corr 6.1.4.1</vt:lpstr>
    </vt:vector>
  </TitlesOfParts>
  <Company>CPRO-DLO</Company>
  <LinksUpToDate>false</LinksUpToDate>
  <CharactersWithSpaces>4691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corr 6.1.4.1</dc:title>
  <dc:creator>&lt;your username here&gt;</dc:creator>
  <cp:keywords>, docId:202F74B00C6A414A6647BC9F696392CD</cp:keywords>
  <cp:lastModifiedBy>Hintum, Theo van</cp:lastModifiedBy>
  <cp:revision>6</cp:revision>
  <cp:lastPrinted>2020-06-30T10:36:00Z</cp:lastPrinted>
  <dcterms:created xsi:type="dcterms:W3CDTF">2024-05-03T09:25:00Z</dcterms:created>
  <dcterms:modified xsi:type="dcterms:W3CDTF">2024-05-03T09:53:00Z</dcterms:modified>
</cp:coreProperties>
</file>