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AB51" w14:textId="596FDD03" w:rsidR="00F93476" w:rsidRPr="005F5E9B" w:rsidRDefault="00000000" w:rsidP="005F5E9B">
      <w:pPr>
        <w:pStyle w:val="Kop1"/>
        <w:tabs>
          <w:tab w:val="left" w:pos="2268"/>
        </w:tabs>
        <w:spacing w:before="0" w:after="0"/>
        <w:rPr>
          <w:rFonts w:ascii="Verdana" w:hAnsi="Verdana"/>
          <w:b w:val="0"/>
          <w:sz w:val="18"/>
          <w:szCs w:val="18"/>
          <w:lang w:val="en-US"/>
        </w:rPr>
      </w:pPr>
      <w:r w:rsidRPr="005F5E9B">
        <w:rPr>
          <w:rFonts w:ascii="Verdana" w:hAnsi="Verdana"/>
          <w:kern w:val="0"/>
          <w:sz w:val="18"/>
          <w:szCs w:val="18"/>
          <w:lang w:val="en-US"/>
        </w:rPr>
        <w:t xml:space="preserve">INS-CGN-PG-005 </w:t>
      </w:r>
      <w:r w:rsidR="005F5E9B" w:rsidRPr="00550FCA">
        <w:rPr>
          <w:rStyle w:val="Paginanummer"/>
          <w:rFonts w:ascii="Verdana" w:hAnsi="Verdana"/>
          <w:caps/>
          <w:sz w:val="16"/>
          <w:lang w:val="en-US"/>
        </w:rPr>
        <w:t>Quality requirements and quality assurance seed material</w:t>
      </w:r>
    </w:p>
    <w:p w14:paraId="2584EF9C" w14:textId="77777777" w:rsidR="00F93476" w:rsidRPr="005F5E9B" w:rsidRDefault="00F93476">
      <w:pPr>
        <w:pStyle w:val="Index1"/>
        <w:rPr>
          <w:rFonts w:ascii="Verdana" w:hAnsi="Verdana"/>
          <w:b w:val="0"/>
          <w:sz w:val="18"/>
          <w:szCs w:val="18"/>
          <w:lang w:val="en-US"/>
        </w:rPr>
      </w:pPr>
    </w:p>
    <w:p w14:paraId="77E8FB73" w14:textId="77777777" w:rsidR="00FF11A2" w:rsidRPr="005F5E9B" w:rsidRDefault="00000000">
      <w:pPr>
        <w:pStyle w:val="Index1"/>
        <w:rPr>
          <w:rFonts w:ascii="Verdana" w:hAnsi="Verdana"/>
          <w:sz w:val="18"/>
          <w:szCs w:val="18"/>
          <w:lang w:val="en-US"/>
        </w:rPr>
      </w:pPr>
      <w:r w:rsidRPr="005F5E9B">
        <w:rPr>
          <w:rFonts w:ascii="Verdana" w:hAnsi="Verdana"/>
          <w:sz w:val="18"/>
          <w:szCs w:val="18"/>
          <w:lang w:val="en-US"/>
        </w:rPr>
        <w:t>QUALITY REQUIREMENTS</w:t>
      </w:r>
    </w:p>
    <w:p w14:paraId="40036B6E" w14:textId="77777777" w:rsidR="00F93476" w:rsidRPr="005F5E9B" w:rsidRDefault="00F93476">
      <w:pPr>
        <w:pStyle w:val="Kop5"/>
        <w:rPr>
          <w:rFonts w:ascii="Verdana" w:hAnsi="Verdana"/>
          <w:b w:val="0"/>
          <w:sz w:val="18"/>
          <w:szCs w:val="18"/>
          <w:lang w:val="en-US"/>
        </w:rPr>
      </w:pPr>
    </w:p>
    <w:p w14:paraId="5E3D3027" w14:textId="77777777" w:rsidR="00FF11A2" w:rsidRPr="005F5E9B" w:rsidRDefault="00000000">
      <w:pPr>
        <w:pStyle w:val="Kop5"/>
        <w:rPr>
          <w:rFonts w:ascii="Verdana" w:hAnsi="Verdana"/>
          <w:b w:val="0"/>
          <w:sz w:val="18"/>
          <w:szCs w:val="18"/>
          <w:lang w:val="en-US"/>
        </w:rPr>
      </w:pPr>
      <w:r w:rsidRPr="005F5E9B">
        <w:rPr>
          <w:rFonts w:ascii="Verdana" w:hAnsi="Verdana"/>
          <w:b w:val="0"/>
          <w:sz w:val="18"/>
          <w:szCs w:val="18"/>
          <w:lang w:val="en-US"/>
        </w:rPr>
        <w:t>A seed sample with accessed status must meet the requirements listed here.</w:t>
      </w:r>
    </w:p>
    <w:p w14:paraId="6C6D3629" w14:textId="77777777" w:rsidR="00F93476" w:rsidRPr="005F5E9B" w:rsidRDefault="00F93476">
      <w:pPr>
        <w:pStyle w:val="Kop5"/>
        <w:rPr>
          <w:rFonts w:ascii="Verdana" w:hAnsi="Verdana"/>
          <w:b w:val="0"/>
          <w:sz w:val="18"/>
          <w:szCs w:val="18"/>
          <w:lang w:val="en-US"/>
        </w:rPr>
      </w:pPr>
    </w:p>
    <w:p w14:paraId="34C3B59C" w14:textId="1BFB0959" w:rsidR="00FF11A2" w:rsidRPr="005F5E9B" w:rsidRDefault="00000000">
      <w:pPr>
        <w:pStyle w:val="Kop5"/>
        <w:rPr>
          <w:rFonts w:ascii="Verdana" w:hAnsi="Verdana"/>
          <w:sz w:val="18"/>
          <w:szCs w:val="18"/>
          <w:lang w:val="en-US"/>
        </w:rPr>
      </w:pPr>
      <w:r w:rsidRPr="005F5E9B">
        <w:rPr>
          <w:rFonts w:ascii="Verdana" w:hAnsi="Verdana"/>
          <w:sz w:val="18"/>
          <w:szCs w:val="18"/>
          <w:lang w:val="en-US"/>
        </w:rPr>
        <w:t>Id</w:t>
      </w:r>
      <w:r w:rsidR="00C13424">
        <w:rPr>
          <w:rFonts w:ascii="Verdana" w:hAnsi="Verdana"/>
          <w:sz w:val="18"/>
          <w:szCs w:val="18"/>
          <w:lang w:val="en-US"/>
        </w:rPr>
        <w:t>entity</w:t>
      </w:r>
    </w:p>
    <w:p w14:paraId="531AFF1B" w14:textId="1E16316C" w:rsidR="00FF11A2" w:rsidRPr="005F5E9B" w:rsidRDefault="00000000">
      <w:pPr>
        <w:pStyle w:val="Plattetekst"/>
        <w:rPr>
          <w:rFonts w:ascii="Verdana" w:hAnsi="Verdana"/>
          <w:b w:val="0"/>
          <w:sz w:val="18"/>
          <w:szCs w:val="18"/>
          <w:u w:val="none"/>
          <w:lang w:val="en-US"/>
        </w:rPr>
      </w:pPr>
      <w:r w:rsidRPr="005F5E9B">
        <w:rPr>
          <w:rFonts w:ascii="Verdana" w:hAnsi="Verdana"/>
          <w:b w:val="0"/>
          <w:sz w:val="18"/>
          <w:szCs w:val="18"/>
          <w:u w:val="none"/>
          <w:lang w:val="en-US"/>
        </w:rPr>
        <w:t xml:space="preserve">Seed from the </w:t>
      </w:r>
      <w:r w:rsidR="005F5E9B">
        <w:rPr>
          <w:rFonts w:ascii="Verdana" w:hAnsi="Verdana"/>
          <w:b w:val="0"/>
          <w:sz w:val="18"/>
          <w:szCs w:val="18"/>
          <w:u w:val="none"/>
          <w:lang w:val="en-US"/>
        </w:rPr>
        <w:t>Multiplication</w:t>
      </w:r>
      <w:r w:rsidRPr="005F5E9B">
        <w:rPr>
          <w:rFonts w:ascii="Verdana" w:hAnsi="Verdana"/>
          <w:b w:val="0"/>
          <w:sz w:val="18"/>
          <w:szCs w:val="18"/>
          <w:u w:val="none"/>
          <w:lang w:val="en-US"/>
        </w:rPr>
        <w:t xml:space="preserve"> of the relevant accession must not be mixed or interchanged with seed from other accessions. The genetic integrity of samples propagated by the CGN is ensured by the </w:t>
      </w:r>
      <w:r w:rsidR="005F5E9B">
        <w:rPr>
          <w:rFonts w:ascii="Verdana" w:hAnsi="Verdana"/>
          <w:b w:val="0"/>
          <w:sz w:val="18"/>
          <w:szCs w:val="18"/>
          <w:u w:val="none"/>
          <w:lang w:val="en-US"/>
        </w:rPr>
        <w:t>Multiplication</w:t>
      </w:r>
      <w:r w:rsidRPr="005F5E9B">
        <w:rPr>
          <w:rFonts w:ascii="Verdana" w:hAnsi="Verdana"/>
          <w:b w:val="0"/>
          <w:sz w:val="18"/>
          <w:szCs w:val="18"/>
          <w:u w:val="none"/>
          <w:lang w:val="en-US"/>
        </w:rPr>
        <w:t xml:space="preserve"> protocols (</w:t>
      </w:r>
      <w:r w:rsidR="000C4CAB" w:rsidRPr="005F5E9B">
        <w:rPr>
          <w:rFonts w:ascii="Verdana" w:hAnsi="Verdana"/>
          <w:b w:val="0"/>
          <w:sz w:val="18"/>
          <w:szCs w:val="18"/>
          <w:u w:val="none"/>
          <w:lang w:val="en-US"/>
        </w:rPr>
        <w:t xml:space="preserve">PRT-CGN-PG-101 to </w:t>
      </w:r>
      <w:r w:rsidR="0081457A" w:rsidRPr="005F5E9B">
        <w:rPr>
          <w:rFonts w:ascii="Verdana" w:hAnsi="Verdana"/>
          <w:b w:val="0"/>
          <w:sz w:val="18"/>
          <w:szCs w:val="18"/>
          <w:u w:val="none"/>
          <w:lang w:val="en-US"/>
        </w:rPr>
        <w:t>PRT-CGN-PG-130</w:t>
      </w:r>
      <w:r w:rsidRPr="005F5E9B">
        <w:rPr>
          <w:rFonts w:ascii="Verdana" w:hAnsi="Verdana"/>
          <w:b w:val="0"/>
          <w:sz w:val="18"/>
          <w:szCs w:val="18"/>
          <w:u w:val="none"/>
          <w:lang w:val="en-US"/>
        </w:rPr>
        <w:t>).</w:t>
      </w:r>
      <w:r w:rsidRPr="005F5E9B">
        <w:rPr>
          <w:rFonts w:ascii="Verdana" w:hAnsi="Verdana"/>
          <w:b w:val="0"/>
          <w:sz w:val="18"/>
          <w:szCs w:val="18"/>
          <w:u w:val="none"/>
          <w:lang w:val="en-US"/>
        </w:rPr>
        <w:br/>
      </w:r>
    </w:p>
    <w:p w14:paraId="4DB99C0E" w14:textId="77777777" w:rsidR="00FF11A2" w:rsidRPr="005F5E9B" w:rsidRDefault="00000000">
      <w:pPr>
        <w:rPr>
          <w:rFonts w:ascii="Verdana" w:hAnsi="Verdana"/>
          <w:b/>
          <w:sz w:val="18"/>
          <w:szCs w:val="18"/>
          <w:lang w:val="en-US"/>
        </w:rPr>
      </w:pPr>
      <w:r w:rsidRPr="005F5E9B">
        <w:rPr>
          <w:rFonts w:ascii="Verdana" w:hAnsi="Verdana"/>
          <w:b/>
          <w:sz w:val="18"/>
          <w:szCs w:val="18"/>
          <w:lang w:val="en-US"/>
        </w:rPr>
        <w:t>Purity</w:t>
      </w:r>
    </w:p>
    <w:p w14:paraId="64A4987B" w14:textId="77777777" w:rsidR="00FF11A2" w:rsidRPr="005F5E9B" w:rsidRDefault="00000000">
      <w:pPr>
        <w:pStyle w:val="Afzender"/>
        <w:rPr>
          <w:rFonts w:ascii="Verdana" w:hAnsi="Verdana"/>
          <w:sz w:val="18"/>
          <w:szCs w:val="18"/>
          <w:lang w:val="en-US"/>
        </w:rPr>
      </w:pPr>
      <w:r w:rsidRPr="005F5E9B">
        <w:rPr>
          <w:rFonts w:ascii="Verdana" w:hAnsi="Verdana"/>
          <w:sz w:val="18"/>
          <w:szCs w:val="18"/>
          <w:lang w:val="en-US"/>
        </w:rPr>
        <w:t>A batch of seed to be included must meet the following requirements:</w:t>
      </w:r>
    </w:p>
    <w:p w14:paraId="197A86E5" w14:textId="77777777" w:rsidR="00FF11A2" w:rsidRPr="005F5E9B" w:rsidRDefault="00000000">
      <w:pPr>
        <w:pStyle w:val="Afzender"/>
        <w:numPr>
          <w:ilvl w:val="0"/>
          <w:numId w:val="8"/>
        </w:numPr>
        <w:rPr>
          <w:rFonts w:ascii="Verdana" w:hAnsi="Verdana"/>
          <w:sz w:val="18"/>
          <w:szCs w:val="18"/>
          <w:lang w:val="en-US"/>
        </w:rPr>
      </w:pPr>
      <w:r w:rsidRPr="005F5E9B">
        <w:rPr>
          <w:rFonts w:ascii="Verdana" w:hAnsi="Verdana"/>
          <w:sz w:val="18"/>
          <w:szCs w:val="18"/>
          <w:lang w:val="en-US"/>
        </w:rPr>
        <w:t>no contamination with seeds of other species or weeds,</w:t>
      </w:r>
    </w:p>
    <w:p w14:paraId="0C95BB5D" w14:textId="77777777" w:rsidR="00FF11A2" w:rsidRPr="005F5E9B" w:rsidRDefault="00000000">
      <w:pPr>
        <w:pStyle w:val="Afzender"/>
        <w:numPr>
          <w:ilvl w:val="0"/>
          <w:numId w:val="9"/>
        </w:numPr>
        <w:rPr>
          <w:rFonts w:ascii="Verdana" w:hAnsi="Verdana"/>
          <w:sz w:val="18"/>
          <w:szCs w:val="18"/>
          <w:lang w:val="en-US"/>
        </w:rPr>
      </w:pPr>
      <w:r w:rsidRPr="005F5E9B">
        <w:rPr>
          <w:rFonts w:ascii="Verdana" w:hAnsi="Verdana"/>
          <w:sz w:val="18"/>
          <w:szCs w:val="18"/>
          <w:lang w:val="en-US"/>
        </w:rPr>
        <w:t xml:space="preserve">no dead or empty seeds, sand, pebbles, remains of other plant parts such as </w:t>
      </w:r>
    </w:p>
    <w:p w14:paraId="67418CCA" w14:textId="77777777" w:rsidR="00FF11A2" w:rsidRDefault="00000000">
      <w:pPr>
        <w:pStyle w:val="Afzender"/>
        <w:tabs>
          <w:tab w:val="left" w:pos="360"/>
        </w:tabs>
        <w:rPr>
          <w:rFonts w:ascii="Verdana" w:hAnsi="Verdana"/>
          <w:sz w:val="18"/>
          <w:szCs w:val="18"/>
        </w:rPr>
      </w:pPr>
      <w:r w:rsidRPr="005F5E9B">
        <w:rPr>
          <w:rFonts w:ascii="Verdana" w:hAnsi="Verdana"/>
          <w:sz w:val="18"/>
          <w:szCs w:val="18"/>
          <w:lang w:val="en-US"/>
        </w:rPr>
        <w:tab/>
      </w:r>
      <w:r w:rsidRPr="007753B3">
        <w:rPr>
          <w:rFonts w:ascii="Verdana" w:hAnsi="Verdana"/>
          <w:sz w:val="18"/>
          <w:szCs w:val="18"/>
        </w:rPr>
        <w:t>leaf, stem, etc.,</w:t>
      </w:r>
    </w:p>
    <w:p w14:paraId="58C30F74" w14:textId="77777777" w:rsidR="00FF11A2" w:rsidRDefault="00000000">
      <w:pPr>
        <w:pStyle w:val="Afzender"/>
        <w:numPr>
          <w:ilvl w:val="0"/>
          <w:numId w:val="10"/>
        </w:numPr>
        <w:rPr>
          <w:rFonts w:ascii="Verdana" w:hAnsi="Verdana"/>
          <w:sz w:val="18"/>
          <w:szCs w:val="18"/>
        </w:rPr>
      </w:pPr>
      <w:r w:rsidRPr="007753B3">
        <w:rPr>
          <w:rFonts w:ascii="Verdana" w:hAnsi="Verdana"/>
          <w:sz w:val="18"/>
          <w:szCs w:val="18"/>
        </w:rPr>
        <w:t>absence of animal organisms</w:t>
      </w:r>
    </w:p>
    <w:p w14:paraId="4E34A876" w14:textId="77777777" w:rsidR="00F93476" w:rsidRPr="007753B3" w:rsidRDefault="00F93476">
      <w:pPr>
        <w:pStyle w:val="Kop5"/>
        <w:rPr>
          <w:rFonts w:ascii="Verdana" w:hAnsi="Verdana"/>
          <w:b w:val="0"/>
          <w:sz w:val="18"/>
          <w:szCs w:val="18"/>
        </w:rPr>
      </w:pPr>
    </w:p>
    <w:p w14:paraId="552F901B" w14:textId="77777777" w:rsidR="00FF11A2" w:rsidRDefault="00000000">
      <w:pPr>
        <w:rPr>
          <w:rFonts w:ascii="Verdana" w:hAnsi="Verdana"/>
          <w:b/>
          <w:sz w:val="18"/>
          <w:szCs w:val="18"/>
          <w:lang w:val="nl-NL"/>
        </w:rPr>
      </w:pPr>
      <w:r w:rsidRPr="007753B3">
        <w:rPr>
          <w:rFonts w:ascii="Verdana" w:hAnsi="Verdana"/>
          <w:b/>
          <w:sz w:val="18"/>
          <w:szCs w:val="18"/>
          <w:lang w:val="nl-NL"/>
        </w:rPr>
        <w:t>Health</w:t>
      </w:r>
    </w:p>
    <w:p w14:paraId="1CB84276" w14:textId="77777777" w:rsidR="00FF11A2" w:rsidRPr="005F5E9B" w:rsidRDefault="00000000">
      <w:pPr>
        <w:rPr>
          <w:rFonts w:ascii="Verdana" w:hAnsi="Verdana"/>
          <w:sz w:val="18"/>
          <w:szCs w:val="18"/>
          <w:lang w:val="en-US"/>
        </w:rPr>
      </w:pPr>
      <w:r w:rsidRPr="005F5E9B">
        <w:rPr>
          <w:rFonts w:ascii="Verdana" w:hAnsi="Verdana"/>
          <w:sz w:val="18"/>
          <w:szCs w:val="18"/>
          <w:lang w:val="en-US"/>
        </w:rPr>
        <w:t xml:space="preserve">For crops where this applies, the material must comply with </w:t>
      </w:r>
      <w:r w:rsidR="00464E2A" w:rsidRPr="005F5E9B">
        <w:rPr>
          <w:rFonts w:ascii="Verdana" w:hAnsi="Verdana"/>
          <w:sz w:val="18"/>
          <w:szCs w:val="18"/>
          <w:lang w:val="en-US"/>
        </w:rPr>
        <w:t xml:space="preserve">phytosanitary </w:t>
      </w:r>
      <w:r w:rsidRPr="005F5E9B">
        <w:rPr>
          <w:rFonts w:ascii="Verdana" w:hAnsi="Verdana"/>
          <w:sz w:val="18"/>
          <w:szCs w:val="18"/>
          <w:lang w:val="en-US"/>
        </w:rPr>
        <w:t xml:space="preserve">requirements, </w:t>
      </w:r>
      <w:r w:rsidR="006B2C68" w:rsidRPr="005F5E9B">
        <w:rPr>
          <w:rFonts w:ascii="Verdana" w:hAnsi="Verdana"/>
          <w:sz w:val="18"/>
          <w:szCs w:val="18"/>
          <w:lang w:val="en-US"/>
        </w:rPr>
        <w:t>see PRT-CGN-PG-601 Phytosanitary Policy.docx.</w:t>
      </w:r>
    </w:p>
    <w:p w14:paraId="63DA7CDC" w14:textId="77777777" w:rsidR="000C4CAB" w:rsidRPr="005F5E9B" w:rsidRDefault="000C4CAB" w:rsidP="007753B3">
      <w:pPr>
        <w:pStyle w:val="Afzender"/>
        <w:rPr>
          <w:rFonts w:ascii="Verdana" w:hAnsi="Verdana"/>
          <w:sz w:val="18"/>
          <w:szCs w:val="18"/>
          <w:lang w:val="en-US"/>
        </w:rPr>
      </w:pPr>
    </w:p>
    <w:p w14:paraId="4FF4F583" w14:textId="77777777" w:rsidR="00FF11A2" w:rsidRPr="005F5E9B" w:rsidRDefault="00000000">
      <w:pPr>
        <w:pStyle w:val="Kop5"/>
        <w:rPr>
          <w:rFonts w:ascii="Verdana" w:hAnsi="Verdana"/>
          <w:sz w:val="18"/>
          <w:szCs w:val="18"/>
          <w:lang w:val="en-US"/>
        </w:rPr>
      </w:pPr>
      <w:bookmarkStart w:id="0" w:name="_Hlk19610087"/>
      <w:r w:rsidRPr="005F5E9B">
        <w:rPr>
          <w:rFonts w:ascii="Verdana" w:hAnsi="Verdana"/>
          <w:sz w:val="18"/>
          <w:szCs w:val="18"/>
          <w:lang w:val="en-US"/>
        </w:rPr>
        <w:t>Germination</w:t>
      </w:r>
    </w:p>
    <w:p w14:paraId="037B8A85" w14:textId="77777777" w:rsidR="00FF11A2" w:rsidRPr="005F5E9B" w:rsidRDefault="00000000">
      <w:pPr>
        <w:pStyle w:val="Kop4"/>
        <w:spacing w:before="0" w:after="0"/>
        <w:rPr>
          <w:rFonts w:ascii="Verdana" w:hAnsi="Verdana"/>
          <w:b w:val="0"/>
          <w:sz w:val="18"/>
          <w:szCs w:val="18"/>
          <w:lang w:val="en-US"/>
        </w:rPr>
      </w:pPr>
      <w:r w:rsidRPr="005F5E9B">
        <w:rPr>
          <w:rFonts w:ascii="Verdana" w:hAnsi="Verdana"/>
          <w:b w:val="0"/>
          <w:sz w:val="18"/>
          <w:szCs w:val="18"/>
          <w:lang w:val="en-US"/>
        </w:rPr>
        <w:t>In the genebank community, the following minimum germination requirements are generally adhered to:</w:t>
      </w:r>
    </w:p>
    <w:p w14:paraId="357DC152" w14:textId="77777777" w:rsidR="00FF11A2" w:rsidRDefault="00000000">
      <w:pPr>
        <w:numPr>
          <w:ilvl w:val="0"/>
          <w:numId w:val="7"/>
        </w:numPr>
        <w:rPr>
          <w:rFonts w:ascii="Verdana" w:hAnsi="Verdana"/>
          <w:sz w:val="18"/>
          <w:szCs w:val="18"/>
        </w:rPr>
      </w:pPr>
      <w:r w:rsidRPr="007753B3">
        <w:rPr>
          <w:rFonts w:ascii="Verdana" w:hAnsi="Verdana"/>
          <w:sz w:val="18"/>
          <w:szCs w:val="18"/>
        </w:rPr>
        <w:t>Varieties and landraces 80%</w:t>
      </w:r>
    </w:p>
    <w:p w14:paraId="346E38B0" w14:textId="77777777" w:rsidR="00FF11A2" w:rsidRDefault="00000000">
      <w:pPr>
        <w:numPr>
          <w:ilvl w:val="0"/>
          <w:numId w:val="7"/>
        </w:numPr>
        <w:rPr>
          <w:rFonts w:ascii="Verdana" w:hAnsi="Verdana"/>
          <w:sz w:val="18"/>
          <w:szCs w:val="18"/>
        </w:rPr>
      </w:pPr>
      <w:r w:rsidRPr="007753B3">
        <w:rPr>
          <w:rFonts w:ascii="Verdana" w:hAnsi="Verdana"/>
          <w:sz w:val="18"/>
          <w:szCs w:val="18"/>
        </w:rPr>
        <w:t>Wild species 60%</w:t>
      </w:r>
    </w:p>
    <w:p w14:paraId="03817FDF" w14:textId="77777777" w:rsidR="00E8299F" w:rsidRDefault="00E8299F" w:rsidP="00E8299F">
      <w:pPr>
        <w:pStyle w:val="Kop5"/>
        <w:rPr>
          <w:rFonts w:ascii="Verdana" w:hAnsi="Verdana"/>
          <w:b w:val="0"/>
          <w:sz w:val="18"/>
          <w:szCs w:val="18"/>
        </w:rPr>
      </w:pPr>
    </w:p>
    <w:p w14:paraId="1A134FE0" w14:textId="77777777" w:rsidR="00FF11A2" w:rsidRPr="005F5E9B" w:rsidRDefault="00000000">
      <w:pPr>
        <w:rPr>
          <w:rFonts w:ascii="Verdana" w:hAnsi="Verdana"/>
          <w:sz w:val="18"/>
          <w:szCs w:val="18"/>
          <w:lang w:val="en-US"/>
        </w:rPr>
      </w:pPr>
      <w:r w:rsidRPr="005F5E9B">
        <w:rPr>
          <w:rFonts w:ascii="Verdana" w:hAnsi="Verdana"/>
          <w:sz w:val="18"/>
          <w:szCs w:val="18"/>
          <w:lang w:val="en-US"/>
        </w:rPr>
        <w:t xml:space="preserve">CGN adheres to these commonly used percentages. In addition, a </w:t>
      </w:r>
      <w:r w:rsidR="00EF6F2D" w:rsidRPr="005F5E9B">
        <w:rPr>
          <w:rFonts w:ascii="Verdana" w:hAnsi="Verdana"/>
          <w:sz w:val="18"/>
          <w:szCs w:val="18"/>
          <w:lang w:val="en-US"/>
        </w:rPr>
        <w:t xml:space="preserve">germination score is </w:t>
      </w:r>
      <w:r w:rsidRPr="005F5E9B">
        <w:rPr>
          <w:rFonts w:ascii="Verdana" w:hAnsi="Verdana"/>
          <w:sz w:val="18"/>
          <w:szCs w:val="18"/>
          <w:lang w:val="en-US"/>
        </w:rPr>
        <w:t xml:space="preserve">given based on both germination and a visual assessment of the seedlings. This qualitative score is a measure of seed quality and determines further treatment of the sample. </w:t>
      </w:r>
      <w:r w:rsidRPr="005F5E9B">
        <w:rPr>
          <w:rFonts w:ascii="Verdana" w:hAnsi="Verdana"/>
          <w:sz w:val="18"/>
          <w:szCs w:val="18"/>
          <w:lang w:val="en-US"/>
        </w:rPr>
        <w:br/>
        <w:t xml:space="preserve">The minimum requirement is a score of 0, 1 or 2 </w:t>
      </w:r>
      <w:r w:rsidR="001A1FBC" w:rsidRPr="005F5E9B">
        <w:rPr>
          <w:rFonts w:ascii="Verdana" w:hAnsi="Verdana"/>
          <w:sz w:val="18"/>
          <w:szCs w:val="18"/>
          <w:lang w:val="en-US"/>
        </w:rPr>
        <w:t>(</w:t>
      </w:r>
      <w:r w:rsidRPr="005F5E9B">
        <w:rPr>
          <w:rFonts w:ascii="Verdana" w:hAnsi="Verdana"/>
          <w:sz w:val="18"/>
          <w:szCs w:val="18"/>
          <w:lang w:val="en-US"/>
        </w:rPr>
        <w:t xml:space="preserve">for more information on these </w:t>
      </w:r>
      <w:r w:rsidR="00427656" w:rsidRPr="005F5E9B">
        <w:rPr>
          <w:rFonts w:ascii="Verdana" w:hAnsi="Verdana"/>
          <w:sz w:val="18"/>
          <w:szCs w:val="18"/>
          <w:lang w:val="en-US"/>
        </w:rPr>
        <w:t>scores</w:t>
      </w:r>
      <w:r w:rsidRPr="005F5E9B">
        <w:rPr>
          <w:rFonts w:ascii="Verdana" w:hAnsi="Verdana"/>
          <w:sz w:val="18"/>
          <w:szCs w:val="18"/>
          <w:lang w:val="en-US"/>
        </w:rPr>
        <w:t>, see the protocol germination determination PRT-CGN-PG-301)</w:t>
      </w:r>
      <w:r w:rsidR="001A1FBC" w:rsidRPr="005F5E9B">
        <w:rPr>
          <w:rFonts w:ascii="Verdana" w:hAnsi="Verdana"/>
          <w:sz w:val="18"/>
          <w:szCs w:val="18"/>
          <w:lang w:val="en-US"/>
        </w:rPr>
        <w:t>.</w:t>
      </w:r>
    </w:p>
    <w:p w14:paraId="71EC1140" w14:textId="77777777" w:rsidR="00E8299F" w:rsidRPr="005F5E9B" w:rsidRDefault="00E8299F" w:rsidP="00422D1A">
      <w:pPr>
        <w:rPr>
          <w:rFonts w:ascii="Verdana" w:hAnsi="Verdana"/>
          <w:sz w:val="18"/>
          <w:szCs w:val="18"/>
          <w:lang w:val="en-US"/>
        </w:rPr>
      </w:pPr>
    </w:p>
    <w:p w14:paraId="085EAC08" w14:textId="77777777" w:rsidR="00FF11A2" w:rsidRPr="005F5E9B" w:rsidRDefault="00000000">
      <w:pPr>
        <w:rPr>
          <w:rFonts w:ascii="Verdana" w:hAnsi="Verdana"/>
          <w:b/>
          <w:sz w:val="18"/>
          <w:szCs w:val="18"/>
          <w:lang w:val="en-US"/>
        </w:rPr>
      </w:pPr>
      <w:r w:rsidRPr="005F5E9B">
        <w:rPr>
          <w:rFonts w:ascii="Verdana" w:hAnsi="Verdana"/>
          <w:b/>
          <w:sz w:val="18"/>
          <w:szCs w:val="18"/>
          <w:lang w:val="en-US"/>
        </w:rPr>
        <w:t>QUALITY CONTROL</w:t>
      </w:r>
    </w:p>
    <w:p w14:paraId="32FA520C" w14:textId="77777777" w:rsidR="00FA00CF" w:rsidRPr="005F5E9B" w:rsidRDefault="00FA00CF" w:rsidP="00422D1A">
      <w:pPr>
        <w:rPr>
          <w:rFonts w:ascii="Verdana" w:hAnsi="Verdana"/>
          <w:sz w:val="18"/>
          <w:szCs w:val="18"/>
          <w:lang w:val="en-US"/>
        </w:rPr>
      </w:pPr>
    </w:p>
    <w:p w14:paraId="482A7777" w14:textId="77777777" w:rsidR="00FF11A2" w:rsidRPr="005F5E9B" w:rsidRDefault="00000000">
      <w:pPr>
        <w:rPr>
          <w:rFonts w:ascii="Verdana" w:hAnsi="Verdana"/>
          <w:sz w:val="18"/>
          <w:szCs w:val="18"/>
          <w:lang w:val="en-US"/>
        </w:rPr>
      </w:pPr>
      <w:r w:rsidRPr="005F5E9B">
        <w:rPr>
          <w:rFonts w:ascii="Verdana" w:hAnsi="Verdana"/>
          <w:sz w:val="18"/>
          <w:szCs w:val="18"/>
          <w:lang w:val="en-US"/>
        </w:rPr>
        <w:t xml:space="preserve">Monitoring of germination is done through repeat germination tests. </w:t>
      </w:r>
      <w:r w:rsidR="00F65B9F" w:rsidRPr="005F5E9B">
        <w:rPr>
          <w:rFonts w:ascii="Verdana" w:hAnsi="Verdana"/>
          <w:sz w:val="18"/>
          <w:szCs w:val="18"/>
          <w:lang w:val="en-US"/>
        </w:rPr>
        <w:t>In case of a (repeat) test result below the norm, the number will be propagated.</w:t>
      </w:r>
      <w:r w:rsidR="00EF6F2D" w:rsidRPr="005F5E9B">
        <w:rPr>
          <w:rFonts w:ascii="Verdana" w:hAnsi="Verdana"/>
          <w:sz w:val="18"/>
          <w:szCs w:val="18"/>
          <w:lang w:val="en-US"/>
        </w:rPr>
        <w:br/>
      </w:r>
    </w:p>
    <w:p w14:paraId="2035F9A8" w14:textId="77777777" w:rsidR="00FF11A2" w:rsidRPr="005F5E9B" w:rsidRDefault="00000000">
      <w:pPr>
        <w:pStyle w:val="Lijstalinea"/>
        <w:numPr>
          <w:ilvl w:val="0"/>
          <w:numId w:val="12"/>
        </w:numPr>
        <w:rPr>
          <w:sz w:val="18"/>
          <w:szCs w:val="18"/>
          <w:lang w:val="en-US"/>
        </w:rPr>
      </w:pPr>
      <w:r w:rsidRPr="005F5E9B">
        <w:rPr>
          <w:sz w:val="18"/>
          <w:szCs w:val="18"/>
          <w:u w:val="single"/>
          <w:lang w:val="en-US"/>
        </w:rPr>
        <w:t>Frequency of re-germination</w:t>
      </w:r>
      <w:r w:rsidRPr="005F5E9B">
        <w:rPr>
          <w:sz w:val="18"/>
          <w:szCs w:val="18"/>
          <w:lang w:val="en-US"/>
        </w:rPr>
        <w:br/>
      </w:r>
      <w:r w:rsidR="00EF6F2D" w:rsidRPr="005F5E9B">
        <w:rPr>
          <w:sz w:val="18"/>
          <w:szCs w:val="18"/>
          <w:lang w:val="en-US"/>
        </w:rPr>
        <w:t xml:space="preserve">The germination of seed stored at -20°C with an absolute moisture content between 3 and 7% is expected to deteriorate only slowly. </w:t>
      </w:r>
      <w:r w:rsidR="00EF6F2D" w:rsidRPr="005F5E9B">
        <w:rPr>
          <w:sz w:val="18"/>
          <w:szCs w:val="18"/>
          <w:lang w:val="en-US"/>
        </w:rPr>
        <w:br/>
      </w:r>
      <w:r w:rsidR="00A11304" w:rsidRPr="005F5E9B">
        <w:rPr>
          <w:sz w:val="18"/>
          <w:szCs w:val="18"/>
          <w:lang w:val="en-US"/>
        </w:rPr>
        <w:t>Within CGN, the guideline is to carry out the first repeat germination 25 years after inclusion of the relevant accession, followed by intervals of 5 or 10 years, depending on germination results. Wheat and barley are expected to have better storability than other crops, therefore intervals of 5 and 20 years respectively apply to these.</w:t>
      </w:r>
      <w:r w:rsidR="00EF6F2D" w:rsidRPr="005F5E9B">
        <w:rPr>
          <w:sz w:val="18"/>
          <w:szCs w:val="18"/>
          <w:lang w:val="en-US"/>
        </w:rPr>
        <w:br/>
      </w:r>
    </w:p>
    <w:p w14:paraId="51B76B4F" w14:textId="77777777" w:rsidR="00FF11A2" w:rsidRPr="005F5E9B" w:rsidRDefault="00000000">
      <w:pPr>
        <w:pStyle w:val="Lijstalinea"/>
        <w:numPr>
          <w:ilvl w:val="0"/>
          <w:numId w:val="12"/>
        </w:numPr>
        <w:rPr>
          <w:rFonts w:cs="Calibri"/>
          <w:sz w:val="18"/>
          <w:szCs w:val="18"/>
          <w:lang w:val="en-US"/>
        </w:rPr>
      </w:pPr>
      <w:r w:rsidRPr="005F5E9B">
        <w:rPr>
          <w:sz w:val="18"/>
          <w:szCs w:val="18"/>
          <w:u w:val="single"/>
          <w:lang w:val="en-US"/>
        </w:rPr>
        <w:t>Duplicate germination</w:t>
      </w:r>
      <w:r w:rsidRPr="005F5E9B">
        <w:rPr>
          <w:sz w:val="18"/>
          <w:szCs w:val="18"/>
          <w:lang w:val="en-US"/>
        </w:rPr>
        <w:br/>
      </w:r>
      <w:r w:rsidR="00EF6F2D" w:rsidRPr="005F5E9B">
        <w:rPr>
          <w:sz w:val="18"/>
          <w:szCs w:val="18"/>
          <w:lang w:val="en-US"/>
        </w:rPr>
        <w:t xml:space="preserve">In duplicate germination determination, part of the samples are tested a second time under code number (anonymously). For each crop, it is randomly determined which numbers qualify for a second determination. </w:t>
      </w:r>
      <w:r w:rsidRPr="005F5E9B">
        <w:rPr>
          <w:sz w:val="18"/>
          <w:szCs w:val="18"/>
          <w:lang w:val="en-US"/>
        </w:rPr>
        <w:br/>
      </w:r>
      <w:r w:rsidR="00EF6F2D" w:rsidRPr="005F5E9B">
        <w:rPr>
          <w:sz w:val="18"/>
          <w:szCs w:val="18"/>
          <w:lang w:val="en-US"/>
        </w:rPr>
        <w:t>The reason for this check is to test the reproducibility of the results and to improve the germination protocols.</w:t>
      </w:r>
      <w:r w:rsidR="006A7D7B" w:rsidRPr="005F5E9B">
        <w:rPr>
          <w:sz w:val="18"/>
          <w:szCs w:val="18"/>
          <w:lang w:val="en-US"/>
        </w:rPr>
        <w:br/>
      </w:r>
    </w:p>
    <w:p w14:paraId="049CA845" w14:textId="77777777" w:rsidR="00FF11A2" w:rsidRPr="005F5E9B" w:rsidRDefault="00000000">
      <w:pPr>
        <w:pStyle w:val="Lijstalinea"/>
        <w:numPr>
          <w:ilvl w:val="0"/>
          <w:numId w:val="12"/>
        </w:numPr>
        <w:rPr>
          <w:sz w:val="18"/>
          <w:szCs w:val="18"/>
          <w:lang w:val="en-US"/>
        </w:rPr>
      </w:pPr>
      <w:r w:rsidRPr="005F5E9B">
        <w:rPr>
          <w:sz w:val="18"/>
          <w:szCs w:val="18"/>
          <w:u w:val="single"/>
          <w:lang w:val="en-US"/>
        </w:rPr>
        <w:lastRenderedPageBreak/>
        <w:t xml:space="preserve">Group sampling </w:t>
      </w:r>
      <w:r w:rsidRPr="005F5E9B">
        <w:rPr>
          <w:sz w:val="18"/>
          <w:szCs w:val="18"/>
          <w:lang w:val="en-US"/>
        </w:rPr>
        <w:br/>
        <w:t xml:space="preserve">When scheduling regeneration forces, there is the option for curators to use group sampling. Here, accessions are grouped by </w:t>
      </w:r>
      <w:r w:rsidR="00DC4845" w:rsidRPr="005F5E9B">
        <w:rPr>
          <w:sz w:val="18"/>
          <w:szCs w:val="18"/>
          <w:lang w:val="en-US"/>
        </w:rPr>
        <w:t>species</w:t>
      </w:r>
      <w:r w:rsidR="001A1FBC" w:rsidRPr="005F5E9B">
        <w:rPr>
          <w:sz w:val="18"/>
          <w:szCs w:val="18"/>
          <w:lang w:val="en-US"/>
        </w:rPr>
        <w:t>, population type</w:t>
      </w:r>
      <w:r w:rsidR="00822E61" w:rsidRPr="005F5E9B">
        <w:rPr>
          <w:sz w:val="18"/>
          <w:szCs w:val="18"/>
          <w:lang w:val="en-US"/>
        </w:rPr>
        <w:t xml:space="preserve">, </w:t>
      </w:r>
      <w:r w:rsidRPr="005F5E9B">
        <w:rPr>
          <w:sz w:val="18"/>
          <w:szCs w:val="18"/>
          <w:lang w:val="en-US"/>
        </w:rPr>
        <w:t>regeneration year</w:t>
      </w:r>
      <w:r w:rsidR="00822E61" w:rsidRPr="005F5E9B">
        <w:rPr>
          <w:sz w:val="18"/>
          <w:szCs w:val="18"/>
          <w:lang w:val="en-US"/>
        </w:rPr>
        <w:t>, and possibly regeneration address</w:t>
      </w:r>
      <w:r w:rsidR="00DC4845" w:rsidRPr="005F5E9B">
        <w:rPr>
          <w:sz w:val="18"/>
          <w:szCs w:val="18"/>
          <w:lang w:val="en-US"/>
        </w:rPr>
        <w:t xml:space="preserve">. </w:t>
      </w:r>
      <w:r w:rsidRPr="005F5E9B">
        <w:rPr>
          <w:sz w:val="18"/>
          <w:szCs w:val="18"/>
          <w:lang w:val="en-US"/>
        </w:rPr>
        <w:t xml:space="preserve">From each group, at least 25% of the accessions are tested. The motivation for this is that material of the same species regenerated under the same conditions and having undergone the same procedures after harvesting is expected to show similar germination rates over time. </w:t>
      </w:r>
      <w:r w:rsidR="001A1FBC" w:rsidRPr="005F5E9B">
        <w:rPr>
          <w:sz w:val="18"/>
          <w:szCs w:val="18"/>
          <w:lang w:val="en-US"/>
        </w:rPr>
        <w:t>If one or more of the accessions tested score below the standard (score 3 or 4), at least 25% more should be tested</w:t>
      </w:r>
      <w:r w:rsidR="00D24BAB" w:rsidRPr="005F5E9B">
        <w:rPr>
          <w:sz w:val="18"/>
          <w:szCs w:val="18"/>
          <w:lang w:val="en-US"/>
        </w:rPr>
        <w:t>.</w:t>
      </w:r>
      <w:r w:rsidRPr="005F5E9B">
        <w:rPr>
          <w:sz w:val="18"/>
          <w:szCs w:val="18"/>
          <w:lang w:val="en-US"/>
        </w:rPr>
        <w:br/>
      </w:r>
      <w:bookmarkEnd w:id="0"/>
    </w:p>
    <w:sectPr w:rsidR="00FF11A2" w:rsidRPr="005F5E9B">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C6C5" w14:textId="77777777" w:rsidR="00F3568B" w:rsidRDefault="00F3568B">
      <w:r>
        <w:separator/>
      </w:r>
    </w:p>
  </w:endnote>
  <w:endnote w:type="continuationSeparator" w:id="0">
    <w:p w14:paraId="2FEC7B69" w14:textId="77777777" w:rsidR="00F3568B" w:rsidRDefault="00F3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020F7" w14:textId="77777777" w:rsidR="00F3568B" w:rsidRDefault="00F3568B">
      <w:r>
        <w:separator/>
      </w:r>
    </w:p>
  </w:footnote>
  <w:footnote w:type="continuationSeparator" w:id="0">
    <w:p w14:paraId="1F91ACD7" w14:textId="77777777" w:rsidR="00F3568B" w:rsidRDefault="00F35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126"/>
    </w:tblGrid>
    <w:tr w:rsidR="00A11304" w14:paraId="0203DAB9" w14:textId="77777777" w:rsidTr="007753B3">
      <w:trPr>
        <w:trHeight w:val="1099"/>
      </w:trPr>
      <w:tc>
        <w:tcPr>
          <w:tcW w:w="7338" w:type="dxa"/>
        </w:tcPr>
        <w:p w14:paraId="3B6464ED" w14:textId="77777777" w:rsidR="00FF11A2" w:rsidRPr="005F5E9B" w:rsidRDefault="00000000">
          <w:pPr>
            <w:pStyle w:val="Koptekst"/>
            <w:rPr>
              <w:rStyle w:val="Paginanummer"/>
              <w:sz w:val="16"/>
              <w:lang w:val="en-US"/>
            </w:rPr>
          </w:pPr>
          <w:r w:rsidRPr="005F5E9B">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5F5E9B">
            <w:rPr>
              <w:rFonts w:ascii="Tahoma" w:hAnsi="Tahoma"/>
              <w:sz w:val="40"/>
              <w:lang w:val="en-US"/>
              <w14:shadow w14:blurRad="50800" w14:dist="38100" w14:dir="2700000" w14:sx="100000" w14:sy="100000" w14:kx="0" w14:ky="0" w14:algn="tl">
                <w14:srgbClr w14:val="000000">
                  <w14:alpha w14:val="60000"/>
                </w14:srgbClr>
              </w14:shadow>
            </w:rPr>
            <w:br/>
          </w:r>
          <w:r w:rsidRPr="005F5E9B">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2126" w:type="dxa"/>
        </w:tcPr>
        <w:p w14:paraId="15809C96" w14:textId="77777777" w:rsidR="00A11304" w:rsidRDefault="00A11304">
          <w:pPr>
            <w:pStyle w:val="Koptekst"/>
            <w:rPr>
              <w:rStyle w:val="Paginanummer"/>
              <w:sz w:val="16"/>
            </w:rPr>
          </w:pPr>
          <w:r>
            <w:rPr>
              <w:rFonts w:ascii="Tahoma" w:hAnsi="Tahoma"/>
              <w:b/>
              <w:noProof/>
              <w:sz w:val="40"/>
              <w:lang w:val="nl-NL"/>
            </w:rPr>
            <w:drawing>
              <wp:inline distT="0" distB="0" distL="0" distR="0" wp14:anchorId="0749C4B8" wp14:editId="340C825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A11304" w14:paraId="0C167D4E" w14:textId="77777777" w:rsidTr="007753B3">
      <w:trPr>
        <w:trHeight w:val="574"/>
      </w:trPr>
      <w:tc>
        <w:tcPr>
          <w:tcW w:w="7338" w:type="dxa"/>
        </w:tcPr>
        <w:p w14:paraId="68EA8F78" w14:textId="77777777" w:rsidR="00A11304" w:rsidRDefault="00A11304">
          <w:pPr>
            <w:pStyle w:val="Koptekst"/>
            <w:tabs>
              <w:tab w:val="left" w:pos="851"/>
            </w:tabs>
            <w:rPr>
              <w:rStyle w:val="Paginanummer"/>
              <w:sz w:val="16"/>
            </w:rPr>
          </w:pPr>
        </w:p>
        <w:p w14:paraId="098EEB81" w14:textId="77777777" w:rsidR="00A11304" w:rsidRDefault="00A11304">
          <w:pPr>
            <w:pStyle w:val="Koptekst"/>
            <w:tabs>
              <w:tab w:val="left" w:pos="851"/>
            </w:tabs>
            <w:rPr>
              <w:rStyle w:val="Paginanummer"/>
              <w:b/>
              <w:sz w:val="16"/>
            </w:rPr>
          </w:pPr>
        </w:p>
        <w:p w14:paraId="12E6EC28" w14:textId="104787BC" w:rsidR="00A11304" w:rsidRPr="005F5E9B" w:rsidRDefault="00000000">
          <w:pPr>
            <w:pStyle w:val="Koptekst"/>
            <w:tabs>
              <w:tab w:val="left" w:pos="851"/>
            </w:tabs>
            <w:rPr>
              <w:rStyle w:val="Paginanummer"/>
              <w:sz w:val="16"/>
              <w:lang w:val="en-US"/>
            </w:rPr>
          </w:pPr>
          <w:r w:rsidRPr="005F5E9B">
            <w:rPr>
              <w:rStyle w:val="Paginanummer"/>
              <w:rFonts w:ascii="Verdana" w:hAnsi="Verdana"/>
              <w:b/>
              <w:sz w:val="16"/>
              <w:lang w:val="en-US"/>
            </w:rPr>
            <w:t xml:space="preserve">INS-CGN-PG-005 </w:t>
          </w:r>
          <w:r w:rsidR="005F5E9B" w:rsidRPr="005F5E9B">
            <w:rPr>
              <w:rStyle w:val="Paginanummer"/>
              <w:rFonts w:ascii="Verdana" w:hAnsi="Verdana"/>
              <w:b/>
              <w:caps/>
              <w:sz w:val="16"/>
              <w:lang w:val="en-US"/>
            </w:rPr>
            <w:t>Quality requirements and quality assurance seed material</w:t>
          </w:r>
          <w:r w:rsidR="00A11304" w:rsidRPr="005F5E9B">
            <w:rPr>
              <w:rStyle w:val="Paginanummer"/>
              <w:sz w:val="16"/>
              <w:lang w:val="en-US"/>
            </w:rPr>
            <w:tab/>
          </w:r>
        </w:p>
        <w:p w14:paraId="3FFE7919" w14:textId="77777777" w:rsidR="00A11304" w:rsidRPr="005F5E9B" w:rsidRDefault="00A11304">
          <w:pPr>
            <w:pStyle w:val="Koptekst"/>
            <w:tabs>
              <w:tab w:val="left" w:pos="851"/>
            </w:tabs>
            <w:rPr>
              <w:rStyle w:val="Paginanummer"/>
              <w:sz w:val="16"/>
              <w:lang w:val="en-US"/>
            </w:rPr>
          </w:pPr>
        </w:p>
      </w:tc>
      <w:tc>
        <w:tcPr>
          <w:tcW w:w="2126" w:type="dxa"/>
        </w:tcPr>
        <w:p w14:paraId="20788143" w14:textId="77777777" w:rsidR="00FF11A2" w:rsidRPr="005F5E9B" w:rsidRDefault="00000000">
          <w:pPr>
            <w:pStyle w:val="Koptekst"/>
            <w:rPr>
              <w:rStyle w:val="Paginanummer"/>
              <w:rFonts w:ascii="Verdana" w:hAnsi="Verdana"/>
              <w:sz w:val="16"/>
              <w:lang w:val="en-US"/>
            </w:rPr>
          </w:pPr>
          <w:r w:rsidRPr="005F5E9B">
            <w:rPr>
              <w:rStyle w:val="Paginanummer"/>
              <w:rFonts w:ascii="Verdana" w:hAnsi="Verdana"/>
              <w:sz w:val="16"/>
              <w:lang w:val="en-US"/>
            </w:rPr>
            <w:t>PGR</w:t>
          </w:r>
        </w:p>
        <w:p w14:paraId="4A039E43" w14:textId="77777777" w:rsidR="00FF11A2" w:rsidRPr="005F5E9B" w:rsidRDefault="00000000">
          <w:pPr>
            <w:pStyle w:val="Koptekst"/>
            <w:rPr>
              <w:rStyle w:val="Paginanummer"/>
              <w:rFonts w:ascii="Verdana" w:hAnsi="Verdana"/>
              <w:sz w:val="16"/>
              <w:lang w:val="en-US"/>
            </w:rPr>
          </w:pPr>
          <w:r w:rsidRPr="005F5E9B">
            <w:rPr>
              <w:rStyle w:val="Paginanummer"/>
              <w:rFonts w:ascii="Verdana" w:hAnsi="Verdana"/>
              <w:sz w:val="16"/>
              <w:lang w:val="en-US"/>
            </w:rPr>
            <w:t>INS-CGN-PG-005</w:t>
          </w:r>
        </w:p>
        <w:p w14:paraId="07DB4FA7" w14:textId="77777777" w:rsidR="00FF11A2" w:rsidRPr="005F5E9B" w:rsidRDefault="00000000">
          <w:pPr>
            <w:pStyle w:val="Koptekst"/>
            <w:rPr>
              <w:rStyle w:val="Paginanummer"/>
              <w:rFonts w:ascii="Verdana" w:hAnsi="Verdana"/>
              <w:sz w:val="16"/>
              <w:lang w:val="en-US"/>
            </w:rPr>
          </w:pPr>
          <w:r w:rsidRPr="005F5E9B">
            <w:rPr>
              <w:rStyle w:val="Paginanummer"/>
              <w:rFonts w:ascii="Verdana" w:hAnsi="Verdana"/>
              <w:sz w:val="16"/>
              <w:lang w:val="en-US"/>
            </w:rPr>
            <w:t xml:space="preserve">Version: </w:t>
          </w:r>
          <w:r w:rsidR="00302C98" w:rsidRPr="005F5E9B">
            <w:rPr>
              <w:rStyle w:val="Paginanummer"/>
              <w:rFonts w:ascii="Verdana" w:hAnsi="Verdana"/>
              <w:sz w:val="16"/>
              <w:lang w:val="en-US"/>
            </w:rPr>
            <w:t>7</w:t>
          </w:r>
        </w:p>
        <w:p w14:paraId="038B6EF2" w14:textId="77777777" w:rsidR="00FF11A2" w:rsidRDefault="00000000">
          <w:pPr>
            <w:pStyle w:val="Koptekst"/>
            <w:rPr>
              <w:rStyle w:val="Paginanummer"/>
              <w:rFonts w:ascii="Verdana" w:hAnsi="Verdana"/>
              <w:sz w:val="16"/>
            </w:rPr>
          </w:pPr>
          <w:r w:rsidRPr="007753B3">
            <w:rPr>
              <w:rStyle w:val="Paginanummer"/>
              <w:rFonts w:ascii="Verdana" w:hAnsi="Verdana"/>
              <w:sz w:val="16"/>
            </w:rPr>
            <w:t xml:space="preserve">Page: </w:t>
          </w:r>
          <w:r w:rsidRPr="007753B3">
            <w:rPr>
              <w:rStyle w:val="Paginanummer"/>
              <w:rFonts w:ascii="Verdana" w:hAnsi="Verdana"/>
              <w:sz w:val="16"/>
            </w:rPr>
            <w:fldChar w:fldCharType="begin"/>
          </w:r>
          <w:r w:rsidRPr="007753B3">
            <w:rPr>
              <w:rStyle w:val="Paginanummer"/>
              <w:rFonts w:ascii="Verdana" w:hAnsi="Verdana"/>
              <w:sz w:val="16"/>
            </w:rPr>
            <w:instrText xml:space="preserve"> PAGE </w:instrText>
          </w:r>
          <w:r w:rsidRPr="007753B3">
            <w:rPr>
              <w:rStyle w:val="Paginanummer"/>
              <w:rFonts w:ascii="Verdana" w:hAnsi="Verdana"/>
              <w:sz w:val="16"/>
            </w:rPr>
            <w:fldChar w:fldCharType="separate"/>
          </w:r>
          <w:r>
            <w:rPr>
              <w:rStyle w:val="Paginanummer"/>
              <w:rFonts w:ascii="Verdana" w:hAnsi="Verdana"/>
              <w:noProof/>
              <w:sz w:val="16"/>
            </w:rPr>
            <w:t>1</w:t>
          </w:r>
          <w:r w:rsidRPr="007753B3">
            <w:rPr>
              <w:rStyle w:val="Paginanummer"/>
              <w:rFonts w:ascii="Verdana" w:hAnsi="Verdana"/>
              <w:sz w:val="16"/>
            </w:rPr>
            <w:fldChar w:fldCharType="end"/>
          </w:r>
          <w:r w:rsidRPr="007753B3">
            <w:rPr>
              <w:rStyle w:val="Paginanummer"/>
              <w:rFonts w:ascii="Verdana" w:hAnsi="Verdana"/>
              <w:sz w:val="16"/>
            </w:rPr>
            <w:t xml:space="preserve"> from </w:t>
          </w:r>
          <w:r w:rsidRPr="007753B3">
            <w:rPr>
              <w:rStyle w:val="Paginanummer"/>
              <w:rFonts w:ascii="Verdana" w:hAnsi="Verdana"/>
              <w:sz w:val="16"/>
            </w:rPr>
            <w:fldChar w:fldCharType="begin"/>
          </w:r>
          <w:r w:rsidRPr="007753B3">
            <w:rPr>
              <w:rStyle w:val="Paginanummer"/>
              <w:rFonts w:ascii="Verdana" w:hAnsi="Verdana"/>
              <w:sz w:val="16"/>
            </w:rPr>
            <w:instrText xml:space="preserve"> NUMPAGES </w:instrText>
          </w:r>
          <w:r w:rsidRPr="007753B3">
            <w:rPr>
              <w:rStyle w:val="Paginanummer"/>
              <w:rFonts w:ascii="Verdana" w:hAnsi="Verdana"/>
              <w:sz w:val="16"/>
            </w:rPr>
            <w:fldChar w:fldCharType="separate"/>
          </w:r>
          <w:r>
            <w:rPr>
              <w:rStyle w:val="Paginanummer"/>
              <w:rFonts w:ascii="Verdana" w:hAnsi="Verdana"/>
              <w:noProof/>
              <w:sz w:val="16"/>
            </w:rPr>
            <w:t>2</w:t>
          </w:r>
          <w:r w:rsidRPr="007753B3">
            <w:rPr>
              <w:rStyle w:val="Paginanummer"/>
              <w:rFonts w:ascii="Verdana" w:hAnsi="Verdana"/>
              <w:sz w:val="16"/>
            </w:rPr>
            <w:fldChar w:fldCharType="end"/>
          </w:r>
        </w:p>
        <w:p w14:paraId="172BF303" w14:textId="77777777" w:rsidR="00FF11A2" w:rsidRDefault="00000000">
          <w:pPr>
            <w:pStyle w:val="Koptekst"/>
            <w:rPr>
              <w:rStyle w:val="Paginanummer"/>
              <w:sz w:val="16"/>
            </w:rPr>
          </w:pPr>
          <w:r w:rsidRPr="007753B3">
            <w:rPr>
              <w:rStyle w:val="Paginanummer"/>
              <w:rFonts w:ascii="Verdana" w:hAnsi="Verdana"/>
              <w:sz w:val="16"/>
            </w:rPr>
            <w:t xml:space="preserve">Issue: </w:t>
          </w:r>
          <w:r w:rsidR="00302C98">
            <w:rPr>
              <w:rStyle w:val="Paginanummer"/>
              <w:rFonts w:ascii="Verdana" w:hAnsi="Verdana"/>
              <w:sz w:val="16"/>
            </w:rPr>
            <w:t>06-03-2024</w:t>
          </w:r>
        </w:p>
      </w:tc>
    </w:tr>
  </w:tbl>
  <w:p w14:paraId="55D1CA30" w14:textId="77777777" w:rsidR="00A11304" w:rsidRDefault="00A113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13D247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15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E64E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DE32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221C9C"/>
    <w:multiLevelType w:val="hybridMultilevel"/>
    <w:tmpl w:val="EFD09D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8A344B0"/>
    <w:multiLevelType w:val="hybridMultilevel"/>
    <w:tmpl w:val="BBD0C9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536962699">
    <w:abstractNumId w:val="5"/>
  </w:num>
  <w:num w:numId="2" w16cid:durableId="157096571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657803773">
    <w:abstractNumId w:val="9"/>
  </w:num>
  <w:num w:numId="4" w16cid:durableId="387463710">
    <w:abstractNumId w:val="7"/>
  </w:num>
  <w:num w:numId="5" w16cid:durableId="108017351">
    <w:abstractNumId w:val="2"/>
  </w:num>
  <w:num w:numId="6" w16cid:durableId="142432221">
    <w:abstractNumId w:val="6"/>
  </w:num>
  <w:num w:numId="7" w16cid:durableId="153910261">
    <w:abstractNumId w:val="1"/>
  </w:num>
  <w:num w:numId="8" w16cid:durableId="1191259772">
    <w:abstractNumId w:val="8"/>
  </w:num>
  <w:num w:numId="9" w16cid:durableId="20937786">
    <w:abstractNumId w:val="3"/>
  </w:num>
  <w:num w:numId="10" w16cid:durableId="1140882505">
    <w:abstractNumId w:val="4"/>
  </w:num>
  <w:num w:numId="11" w16cid:durableId="123929338">
    <w:abstractNumId w:val="10"/>
  </w:num>
  <w:num w:numId="12" w16cid:durableId="18299754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07"/>
    <w:rsid w:val="00042490"/>
    <w:rsid w:val="000C2A12"/>
    <w:rsid w:val="000C4CAB"/>
    <w:rsid w:val="00131F37"/>
    <w:rsid w:val="0016529F"/>
    <w:rsid w:val="001A1FBC"/>
    <w:rsid w:val="001A2DFB"/>
    <w:rsid w:val="001E7D0A"/>
    <w:rsid w:val="00201104"/>
    <w:rsid w:val="00220118"/>
    <w:rsid w:val="002764DC"/>
    <w:rsid w:val="00302C98"/>
    <w:rsid w:val="0030452C"/>
    <w:rsid w:val="00326AB4"/>
    <w:rsid w:val="003444DC"/>
    <w:rsid w:val="003447D0"/>
    <w:rsid w:val="00381CFE"/>
    <w:rsid w:val="003975F8"/>
    <w:rsid w:val="003F1B6A"/>
    <w:rsid w:val="00400974"/>
    <w:rsid w:val="004108B7"/>
    <w:rsid w:val="00422D1A"/>
    <w:rsid w:val="004236D2"/>
    <w:rsid w:val="00424D5B"/>
    <w:rsid w:val="00427656"/>
    <w:rsid w:val="00464E2A"/>
    <w:rsid w:val="00541396"/>
    <w:rsid w:val="00543EF7"/>
    <w:rsid w:val="0058290B"/>
    <w:rsid w:val="00593617"/>
    <w:rsid w:val="005E64CF"/>
    <w:rsid w:val="005F3AD7"/>
    <w:rsid w:val="005F40B2"/>
    <w:rsid w:val="005F5E9B"/>
    <w:rsid w:val="00682C49"/>
    <w:rsid w:val="00692930"/>
    <w:rsid w:val="006A7D7B"/>
    <w:rsid w:val="006B2C68"/>
    <w:rsid w:val="006C0DED"/>
    <w:rsid w:val="006C23A3"/>
    <w:rsid w:val="00706754"/>
    <w:rsid w:val="00765BE3"/>
    <w:rsid w:val="007753B3"/>
    <w:rsid w:val="007E595B"/>
    <w:rsid w:val="0081306C"/>
    <w:rsid w:val="0081457A"/>
    <w:rsid w:val="00822E61"/>
    <w:rsid w:val="00852258"/>
    <w:rsid w:val="0085358A"/>
    <w:rsid w:val="00857406"/>
    <w:rsid w:val="00877A22"/>
    <w:rsid w:val="0089649C"/>
    <w:rsid w:val="008D4A9C"/>
    <w:rsid w:val="00941967"/>
    <w:rsid w:val="009765DD"/>
    <w:rsid w:val="0098360A"/>
    <w:rsid w:val="009B1E27"/>
    <w:rsid w:val="009D7FC0"/>
    <w:rsid w:val="00A019CD"/>
    <w:rsid w:val="00A11304"/>
    <w:rsid w:val="00A45582"/>
    <w:rsid w:val="00A4711E"/>
    <w:rsid w:val="00A54C04"/>
    <w:rsid w:val="00AA3474"/>
    <w:rsid w:val="00B23141"/>
    <w:rsid w:val="00B968DD"/>
    <w:rsid w:val="00B974C5"/>
    <w:rsid w:val="00C0689E"/>
    <w:rsid w:val="00C13424"/>
    <w:rsid w:val="00C31FBC"/>
    <w:rsid w:val="00C36445"/>
    <w:rsid w:val="00C77BDD"/>
    <w:rsid w:val="00D00974"/>
    <w:rsid w:val="00D24BAB"/>
    <w:rsid w:val="00D8626B"/>
    <w:rsid w:val="00D96764"/>
    <w:rsid w:val="00DC4845"/>
    <w:rsid w:val="00DC4A82"/>
    <w:rsid w:val="00DE7911"/>
    <w:rsid w:val="00E02CEF"/>
    <w:rsid w:val="00E8299F"/>
    <w:rsid w:val="00E836DB"/>
    <w:rsid w:val="00EA0540"/>
    <w:rsid w:val="00EE0755"/>
    <w:rsid w:val="00EF6F2D"/>
    <w:rsid w:val="00F06444"/>
    <w:rsid w:val="00F3568B"/>
    <w:rsid w:val="00F65B9F"/>
    <w:rsid w:val="00F93476"/>
    <w:rsid w:val="00F97607"/>
    <w:rsid w:val="00FA00CF"/>
    <w:rsid w:val="00FD5BDB"/>
    <w:rsid w:val="00FF11A2"/>
    <w:rsid w:val="00FF1E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B638E"/>
  <w15:docId w15:val="{74B5C34F-C2FD-42AB-8E2B-51584F11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F6F2D"/>
    <w:rPr>
      <w:rFonts w:ascii="News Gothic" w:hAnsi="News Gothic"/>
      <w:lang w:val="en-GB"/>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qFormat/>
    <w:pPr>
      <w:keepNext/>
      <w:spacing w:before="240" w:after="60"/>
      <w:outlineLvl w:val="3"/>
    </w:pPr>
    <w:rPr>
      <w:b/>
      <w:sz w:val="24"/>
    </w:rPr>
  </w:style>
  <w:style w:type="paragraph" w:styleId="Kop5">
    <w:name w:val="heading 5"/>
    <w:basedOn w:val="Standaard"/>
    <w:next w:val="Standaard"/>
    <w:qFormat/>
    <w:pPr>
      <w:keepNext/>
      <w:outlineLvl w:val="4"/>
    </w:pPr>
    <w:rPr>
      <w:b/>
      <w:lang w:val="nl-NL"/>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qFormat/>
    <w:pPr>
      <w:spacing w:before="240" w:after="60"/>
      <w:outlineLvl w:val="6"/>
    </w:pPr>
  </w:style>
  <w:style w:type="paragraph" w:styleId="Kop8">
    <w:name w:val="heading 8"/>
    <w:basedOn w:val="Standaard"/>
    <w:next w:val="Standaard"/>
    <w:qFormat/>
    <w:pPr>
      <w:spacing w:before="240" w:after="60"/>
      <w:outlineLvl w:val="7"/>
    </w:pPr>
    <w:rPr>
      <w:i/>
    </w:rPr>
  </w:style>
  <w:style w:type="paragraph" w:styleId="Kop9">
    <w:name w:val="heading 9"/>
    <w:basedOn w:val="Standaard"/>
    <w:next w:val="Standaard"/>
    <w:qFormat/>
    <w:p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semiHidden/>
    <w:pPr>
      <w:ind w:left="200" w:hanging="200"/>
    </w:pPr>
    <w:rPr>
      <w:b/>
      <w:sz w:val="22"/>
    </w:rPr>
  </w:style>
  <w:style w:type="paragraph" w:styleId="Indexkop">
    <w:name w:val="index heading"/>
    <w:basedOn w:val="Standaard"/>
    <w:next w:val="Index1"/>
    <w:semiHidden/>
    <w:rPr>
      <w:b/>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Ondertitel">
    <w:name w:val="Subtitle"/>
    <w:basedOn w:val="Standaard"/>
    <w:qFormat/>
    <w:pPr>
      <w:spacing w:after="60"/>
      <w:jc w:val="center"/>
      <w:outlineLvl w:val="1"/>
    </w:pPr>
    <w:rPr>
      <w:sz w:val="24"/>
    </w:rPr>
  </w:style>
  <w:style w:type="paragraph" w:styleId="Titel">
    <w:name w:val="Title"/>
    <w:basedOn w:val="Standaard"/>
    <w:qFormat/>
    <w:pPr>
      <w:spacing w:before="240" w:after="60"/>
      <w:jc w:val="center"/>
      <w:outlineLvl w:val="0"/>
    </w:pPr>
    <w:rPr>
      <w:b/>
      <w:kern w:val="28"/>
      <w:sz w:val="32"/>
    </w:rPr>
  </w:style>
  <w:style w:type="paragraph" w:styleId="Kopbronvermelding">
    <w:name w:val="toa heading"/>
    <w:basedOn w:val="Standaard"/>
    <w:next w:val="Standaard"/>
    <w:semiHidden/>
    <w:pPr>
      <w:spacing w:before="120"/>
    </w:pPr>
    <w:rPr>
      <w:b/>
      <w:sz w:val="24"/>
    </w:rPr>
  </w:style>
  <w:style w:type="character" w:styleId="Eindnootmarkering">
    <w:name w:val="endnote reference"/>
    <w:semiHidden/>
    <w:rPr>
      <w:vertAlign w:val="superscript"/>
    </w:rPr>
  </w:style>
  <w:style w:type="paragraph" w:styleId="Adresenvelop">
    <w:name w:val="envelope address"/>
    <w:basedOn w:val="Standaard"/>
    <w:pPr>
      <w:framePr w:w="7920" w:h="1980" w:hRule="exact" w:hSpace="180" w:wrap="auto" w:hAnchor="page" w:xAlign="center" w:yAlign="bottom"/>
      <w:ind w:left="2880"/>
    </w:pPr>
    <w:rPr>
      <w:sz w:val="24"/>
    </w:rPr>
  </w:style>
  <w:style w:type="paragraph" w:styleId="Afzender">
    <w:name w:val="envelope return"/>
    <w:basedOn w:val="Standaard"/>
  </w:style>
  <w:style w:type="character" w:styleId="Voetnootmarkering">
    <w:name w:val="footnote reference"/>
    <w:semiHidden/>
    <w:rPr>
      <w:vertAlign w:val="superscript"/>
    </w:rPr>
  </w:style>
  <w:style w:type="character" w:styleId="Paginanummer">
    <w:name w:val="page number"/>
    <w:basedOn w:val="Standaardalinea-lettertype"/>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Plattetekst">
    <w:name w:val="Body Text"/>
    <w:basedOn w:val="Standaard"/>
    <w:rPr>
      <w:rFonts w:ascii="Arial" w:hAnsi="Arial"/>
      <w:b/>
      <w:sz w:val="22"/>
      <w:u w:val="single"/>
      <w:lang w:val="nl-NL"/>
    </w:rPr>
  </w:style>
  <w:style w:type="paragraph" w:styleId="Plattetekstinspringen">
    <w:name w:val="Body Text Indent"/>
    <w:basedOn w:val="Standaard"/>
    <w:pPr>
      <w:ind w:left="709"/>
    </w:pPr>
    <w:rPr>
      <w:rFonts w:ascii="Arial" w:hAnsi="Arial"/>
      <w:sz w:val="22"/>
      <w:lang w:val="nl-NL"/>
    </w:rPr>
  </w:style>
  <w:style w:type="paragraph" w:styleId="Lijstalinea">
    <w:name w:val="List Paragraph"/>
    <w:basedOn w:val="Standaard"/>
    <w:uiPriority w:val="34"/>
    <w:qFormat/>
    <w:rsid w:val="00877A22"/>
    <w:pPr>
      <w:spacing w:after="200" w:line="276" w:lineRule="auto"/>
      <w:ind w:left="720"/>
      <w:contextualSpacing/>
    </w:pPr>
    <w:rPr>
      <w:rFonts w:ascii="Verdana" w:eastAsia="Calibri" w:hAnsi="Verdana"/>
      <w:sz w:val="17"/>
      <w:szCs w:val="22"/>
      <w:lang w:eastAsia="en-US"/>
    </w:rPr>
  </w:style>
  <w:style w:type="paragraph" w:styleId="Ballontekst">
    <w:name w:val="Balloon Text"/>
    <w:basedOn w:val="Standaard"/>
    <w:link w:val="BallontekstChar"/>
    <w:rsid w:val="0089649C"/>
    <w:rPr>
      <w:rFonts w:ascii="Tahoma" w:hAnsi="Tahoma" w:cs="Tahoma"/>
      <w:sz w:val="16"/>
      <w:szCs w:val="16"/>
    </w:rPr>
  </w:style>
  <w:style w:type="character" w:customStyle="1" w:styleId="BallontekstChar">
    <w:name w:val="Ballontekst Char"/>
    <w:link w:val="Ballontekst"/>
    <w:rsid w:val="0089649C"/>
    <w:rPr>
      <w:rFonts w:ascii="Tahoma" w:hAnsi="Tahoma" w:cs="Tahoma"/>
      <w:sz w:val="16"/>
      <w:szCs w:val="16"/>
      <w:lang w:eastAsia="nl-NL"/>
    </w:rPr>
  </w:style>
  <w:style w:type="paragraph" w:styleId="Tekstzonderopmaak">
    <w:name w:val="Plain Text"/>
    <w:basedOn w:val="Standaard"/>
    <w:link w:val="TekstzonderopmaakChar"/>
    <w:rsid w:val="001E7D0A"/>
    <w:rPr>
      <w:rFonts w:ascii="Courier New" w:hAnsi="Courier New" w:cs="Courier New"/>
    </w:rPr>
  </w:style>
  <w:style w:type="character" w:customStyle="1" w:styleId="TekstzonderopmaakChar">
    <w:name w:val="Tekst zonder opmaak Char"/>
    <w:link w:val="Tekstzonderopmaak"/>
    <w:rsid w:val="001E7D0A"/>
    <w:rPr>
      <w:rFonts w:ascii="Courier New" w:hAnsi="Courier New" w:cs="Courier New"/>
      <w:lang w:val="en-GB"/>
    </w:rPr>
  </w:style>
  <w:style w:type="character" w:styleId="Verwijzingopmerking">
    <w:name w:val="annotation reference"/>
    <w:basedOn w:val="Standaardalinea-lettertype"/>
    <w:semiHidden/>
    <w:unhideWhenUsed/>
    <w:rsid w:val="005F40B2"/>
    <w:rPr>
      <w:sz w:val="16"/>
      <w:szCs w:val="16"/>
    </w:rPr>
  </w:style>
  <w:style w:type="paragraph" w:styleId="Tekstopmerking">
    <w:name w:val="annotation text"/>
    <w:basedOn w:val="Standaard"/>
    <w:link w:val="TekstopmerkingChar"/>
    <w:unhideWhenUsed/>
    <w:rsid w:val="005F40B2"/>
  </w:style>
  <w:style w:type="character" w:customStyle="1" w:styleId="TekstopmerkingChar">
    <w:name w:val="Tekst opmerking Char"/>
    <w:basedOn w:val="Standaardalinea-lettertype"/>
    <w:link w:val="Tekstopmerking"/>
    <w:rsid w:val="005F40B2"/>
    <w:rPr>
      <w:rFonts w:ascii="News Gothic" w:hAnsi="News Gothic"/>
      <w:lang w:val="en-GB"/>
    </w:rPr>
  </w:style>
  <w:style w:type="paragraph" w:styleId="Onderwerpvanopmerking">
    <w:name w:val="annotation subject"/>
    <w:basedOn w:val="Tekstopmerking"/>
    <w:next w:val="Tekstopmerking"/>
    <w:link w:val="OnderwerpvanopmerkingChar"/>
    <w:semiHidden/>
    <w:unhideWhenUsed/>
    <w:rsid w:val="005F40B2"/>
    <w:rPr>
      <w:b/>
      <w:bCs/>
    </w:rPr>
  </w:style>
  <w:style w:type="character" w:customStyle="1" w:styleId="OnderwerpvanopmerkingChar">
    <w:name w:val="Onderwerp van opmerking Char"/>
    <w:basedOn w:val="TekstopmerkingChar"/>
    <w:link w:val="Onderwerpvanopmerking"/>
    <w:semiHidden/>
    <w:rsid w:val="005F40B2"/>
    <w:rPr>
      <w:rFonts w:ascii="News Gothic" w:hAnsi="News Gothic"/>
      <w:b/>
      <w:bCs/>
      <w:lang w:val="en-GB"/>
    </w:rPr>
  </w:style>
  <w:style w:type="character" w:styleId="Hyperlink">
    <w:name w:val="Hyperlink"/>
    <w:basedOn w:val="Standaardalinea-lettertype"/>
    <w:unhideWhenUsed/>
    <w:rsid w:val="00D8626B"/>
    <w:rPr>
      <w:color w:val="0000FF" w:themeColor="hyperlink"/>
      <w:u w:val="single"/>
    </w:rPr>
  </w:style>
  <w:style w:type="character" w:styleId="Onopgelostemelding">
    <w:name w:val="Unresolved Mention"/>
    <w:basedOn w:val="Standaardalinea-lettertype"/>
    <w:uiPriority w:val="99"/>
    <w:semiHidden/>
    <w:unhideWhenUsed/>
    <w:rsid w:val="00D8626B"/>
    <w:rPr>
      <w:color w:val="808080"/>
      <w:shd w:val="clear" w:color="auto" w:fill="E6E6E6"/>
    </w:rPr>
  </w:style>
  <w:style w:type="character" w:styleId="GevolgdeHyperlink">
    <w:name w:val="FollowedHyperlink"/>
    <w:basedOn w:val="Standaardalinea-lettertype"/>
    <w:semiHidden/>
    <w:unhideWhenUsed/>
    <w:rsid w:val="00C31FBC"/>
    <w:rPr>
      <w:color w:val="800080" w:themeColor="followedHyperlink"/>
      <w:u w:val="single"/>
    </w:rPr>
  </w:style>
  <w:style w:type="paragraph" w:styleId="Revisie">
    <w:name w:val="Revision"/>
    <w:hidden/>
    <w:uiPriority w:val="99"/>
    <w:semiHidden/>
    <w:rsid w:val="006B2C68"/>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5884C0-3B48-4FB7-87A8-7DE21B970352}"/>
</file>

<file path=customXml/itemProps2.xml><?xml version="1.0" encoding="utf-8"?>
<ds:datastoreItem xmlns:ds="http://schemas.openxmlformats.org/officeDocument/2006/customXml" ds:itemID="{47CEE0A6-E14B-4690-A431-F34E0BF57CE2}"/>
</file>

<file path=docProps/app.xml><?xml version="1.0" encoding="utf-8"?>
<Properties xmlns="http://schemas.openxmlformats.org/officeDocument/2006/extended-properties" xmlns:vt="http://schemas.openxmlformats.org/officeDocument/2006/docPropsVTypes">
  <Template>Normal.dotm</Template>
  <TotalTime>3</TotalTime>
  <Pages>2</Pages>
  <Words>465</Words>
  <Characters>2562</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INS-005</vt:lpstr>
      <vt:lpstr>INS-005</vt:lpstr>
    </vt:vector>
  </TitlesOfParts>
  <Company>CPRO-DLO</Company>
  <LinksUpToDate>false</LinksUpToDate>
  <CharactersWithSpaces>3021</CharactersWithSpaces>
  <SharedDoc>false</SharedDoc>
  <HLinks>
    <vt:vector size="12" baseType="variant">
      <vt:variant>
        <vt:i4>3407941</vt:i4>
      </vt:variant>
      <vt:variant>
        <vt:i4>3</vt:i4>
      </vt:variant>
      <vt:variant>
        <vt:i4>0</vt:i4>
      </vt:variant>
      <vt:variant>
        <vt:i4>5</vt:i4>
      </vt:variant>
      <vt:variant>
        <vt:lpwstr>http://ec.europa.eu/food/plant/plant_health_biosafety/legislation/index_en.htm</vt:lpwstr>
      </vt:variant>
      <vt:variant>
        <vt:lpwstr/>
      </vt:variant>
      <vt:variant>
        <vt:i4>6226012</vt:i4>
      </vt:variant>
      <vt:variant>
        <vt:i4>0</vt:i4>
      </vt:variant>
      <vt:variant>
        <vt:i4>0</vt:i4>
      </vt:variant>
      <vt:variant>
        <vt:i4>5</vt:i4>
      </vt:variant>
      <vt:variant>
        <vt:lpwstr>http://eur-lex.europa.eu/LexUriServ/site/en/oj/2000/l_169/l_16920000710en00010112.pdf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INS-005</dc:title>
  <dc:creator>&lt;your username here&gt;</dc:creator>
  <cp:keywords>, docId:452CB5607E55E6DA3483E39D87BF680E</cp:keywords>
  <cp:lastModifiedBy>Nijnens, Hariette</cp:lastModifiedBy>
  <cp:revision>4</cp:revision>
  <cp:lastPrinted>2019-09-17T11:40:00Z</cp:lastPrinted>
  <dcterms:created xsi:type="dcterms:W3CDTF">2024-05-03T11:45:00Z</dcterms:created>
  <dcterms:modified xsi:type="dcterms:W3CDTF">2024-05-03T11:48:00Z</dcterms:modified>
</cp:coreProperties>
</file>