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21444" w14:textId="592B8F2A" w:rsidR="00AC6AC6" w:rsidRPr="003F2DE8" w:rsidRDefault="00AC6AC6" w:rsidP="003F2DE8">
      <w:pPr>
        <w:pStyle w:val="Heading5"/>
        <w:ind w:left="1985" w:hanging="1985"/>
        <w:rPr>
          <w:rFonts w:ascii="Verdana" w:hAnsi="Verdana"/>
          <w:sz w:val="20"/>
        </w:rPr>
      </w:pPr>
      <w:r w:rsidRPr="003F2DE8">
        <w:rPr>
          <w:rFonts w:ascii="Verdana" w:hAnsi="Verdana"/>
          <w:b/>
          <w:sz w:val="20"/>
        </w:rPr>
        <w:t xml:space="preserve">PRT-CGN-PG-112 PROTOCOL </w:t>
      </w:r>
      <w:r w:rsidR="003F2DE8" w:rsidRPr="003F2DE8">
        <w:rPr>
          <w:rFonts w:ascii="Verdana" w:hAnsi="Verdana"/>
          <w:b/>
          <w:caps/>
          <w:sz w:val="20"/>
        </w:rPr>
        <w:t>multiplication wild cereals</w:t>
      </w:r>
    </w:p>
    <w:p w14:paraId="17C03991" w14:textId="77777777" w:rsidR="00AC6AC6" w:rsidRPr="003F2DE8" w:rsidRDefault="00AC6AC6">
      <w:pPr>
        <w:rPr>
          <w:rFonts w:ascii="Verdana" w:hAnsi="Verdana"/>
          <w:lang w:val="en-US"/>
        </w:rPr>
      </w:pPr>
    </w:p>
    <w:p w14:paraId="69C2007E" w14:textId="77777777" w:rsidR="003F2DE8" w:rsidRPr="00BF1A00" w:rsidRDefault="003F2DE8" w:rsidP="003F2DE8">
      <w:pPr>
        <w:rPr>
          <w:rFonts w:ascii="Verdana" w:hAnsi="Verdana"/>
        </w:rPr>
      </w:pPr>
      <w:bookmarkStart w:id="0" w:name="_Hlk165042755"/>
      <w:r w:rsidRPr="00BF1A00">
        <w:rPr>
          <w:rFonts w:ascii="Verdana" w:hAnsi="Verdana"/>
        </w:rPr>
        <w:t xml:space="preserve">This protocol applies to all parties involved in the multiplication of CGN material. </w:t>
      </w:r>
    </w:p>
    <w:p w14:paraId="44F8641A" w14:textId="77777777" w:rsidR="003F2DE8" w:rsidRPr="00A67B02" w:rsidRDefault="003F2DE8" w:rsidP="003F2DE8">
      <w:pPr>
        <w:pStyle w:val="Heading3"/>
        <w:rPr>
          <w:rFonts w:ascii="Verdana" w:hAnsi="Verdana"/>
          <w:b/>
          <w:bCs/>
          <w:sz w:val="20"/>
        </w:rPr>
      </w:pPr>
      <w:r w:rsidRPr="00A67B02">
        <w:rPr>
          <w:rFonts w:ascii="Verdana" w:hAnsi="Verdana"/>
          <w:b/>
          <w:bCs/>
          <w:sz w:val="20"/>
        </w:rPr>
        <w:t>Introduction</w:t>
      </w:r>
    </w:p>
    <w:p w14:paraId="08250E0B" w14:textId="77777777" w:rsidR="003F2DE8" w:rsidRPr="00BF1A00" w:rsidRDefault="003F2DE8" w:rsidP="003F2DE8">
      <w:pPr>
        <w:rPr>
          <w:rFonts w:ascii="Verdana" w:hAnsi="Verdana"/>
        </w:rPr>
      </w:pPr>
      <w:r w:rsidRPr="00BF1A00">
        <w:rPr>
          <w:rFonts w:ascii="Verdana" w:hAnsi="Verdana"/>
        </w:rPr>
        <w:t xml:space="preserve">Multiplications have to fulfil minimum quality requirements to ensure maintenance of genetic identity and integrity (avoiding seed mixing among accessions  and minimizing loss of diversity through genetic drift) and high seed quality (absence of diseases and sufficient germination ability). </w:t>
      </w:r>
    </w:p>
    <w:p w14:paraId="30F07893" w14:textId="7B6815F0" w:rsidR="00AC6AC6" w:rsidRPr="003F2DE8" w:rsidRDefault="003F2DE8">
      <w:pPr>
        <w:rPr>
          <w:rFonts w:ascii="Verdana" w:hAnsi="Verdana"/>
        </w:rPr>
      </w:pPr>
      <w:r w:rsidRPr="00BF184A">
        <w:rPr>
          <w:rFonts w:ascii="Verdana" w:hAnsi="Verdana"/>
        </w:rPr>
        <w:t>Contamination with Genetically Modified Organisms (GMO) should be prevented.</w:t>
      </w:r>
    </w:p>
    <w:p w14:paraId="28AA66C7" w14:textId="77777777" w:rsidR="003F2DE8" w:rsidRPr="00BF1A00" w:rsidRDefault="003F2DE8" w:rsidP="003F2DE8">
      <w:pPr>
        <w:pStyle w:val="NormalWeb"/>
        <w:rPr>
          <w:rFonts w:ascii="Verdana" w:hAnsi="Verdana"/>
          <w:color w:val="auto"/>
          <w:sz w:val="20"/>
          <w:szCs w:val="20"/>
        </w:rPr>
      </w:pPr>
      <w:r w:rsidRPr="00BF1A00">
        <w:rPr>
          <w:rFonts w:ascii="Verdana" w:hAnsi="Verdana"/>
          <w:i/>
          <w:iCs/>
          <w:color w:val="auto"/>
          <w:sz w:val="20"/>
          <w:szCs w:val="20"/>
        </w:rPr>
        <w:t xml:space="preserve">Any deviation from this protocol should be reported to CGN, after which  it will be recorded by CGN in the Multiplication logbook (FOR-CGN-PG-002). </w:t>
      </w:r>
    </w:p>
    <w:p w14:paraId="5AD65E43" w14:textId="76A7174C" w:rsidR="003F2DE8" w:rsidRPr="003F2DE8" w:rsidRDefault="003F2DE8" w:rsidP="003F2DE8">
      <w:pPr>
        <w:spacing w:before="100" w:beforeAutospacing="1" w:after="100" w:afterAutospacing="1"/>
        <w:outlineLvl w:val="2"/>
        <w:rPr>
          <w:rFonts w:ascii="Verdana" w:hAnsi="Verdana"/>
          <w:b/>
          <w:bCs/>
          <w:lang w:eastAsia="en-GB"/>
        </w:rPr>
      </w:pPr>
      <w:bookmarkStart w:id="1" w:name="_Hlk165042774"/>
      <w:bookmarkEnd w:id="0"/>
      <w:r w:rsidRPr="003F2DE8">
        <w:rPr>
          <w:rFonts w:ascii="Verdana" w:hAnsi="Verdana"/>
          <w:b/>
          <w:bCs/>
          <w:lang w:eastAsia="en-GB"/>
        </w:rPr>
        <w:t>Multiplication</w:t>
      </w:r>
      <w:r>
        <w:rPr>
          <w:rFonts w:ascii="Verdana" w:hAnsi="Verdana"/>
          <w:b/>
          <w:bCs/>
          <w:lang w:eastAsia="en-GB"/>
        </w:rPr>
        <w:br/>
      </w:r>
      <w:r w:rsidRPr="003F2DE8">
        <w:rPr>
          <w:rFonts w:ascii="Verdana" w:hAnsi="Verdana"/>
          <w:bCs/>
          <w:u w:val="single"/>
          <w:lang w:eastAsia="en-GB"/>
        </w:rPr>
        <w:t>Maintaining genetic integrity</w:t>
      </w:r>
    </w:p>
    <w:bookmarkEnd w:id="1"/>
    <w:p w14:paraId="1B80DDAF" w14:textId="6B67DF4E" w:rsidR="00AC6AC6" w:rsidRPr="00D56AA0" w:rsidRDefault="00F60FC6">
      <w:pPr>
        <w:numPr>
          <w:ilvl w:val="0"/>
          <w:numId w:val="13"/>
        </w:numPr>
        <w:rPr>
          <w:rFonts w:ascii="Verdana" w:hAnsi="Verdana"/>
          <w:lang w:val="nl-NL"/>
        </w:rPr>
      </w:pPr>
      <w:proofErr w:type="spellStart"/>
      <w:r>
        <w:rPr>
          <w:rFonts w:ascii="Verdana" w:hAnsi="Verdana"/>
          <w:lang w:val="nl-NL"/>
        </w:rPr>
        <w:t>I</w:t>
      </w:r>
      <w:r w:rsidR="00AC6AC6" w:rsidRPr="00D56AA0">
        <w:rPr>
          <w:rFonts w:ascii="Verdana" w:hAnsi="Verdana"/>
          <w:lang w:val="nl-NL"/>
        </w:rPr>
        <w:t>solati</w:t>
      </w:r>
      <w:r w:rsidR="003F2DE8">
        <w:rPr>
          <w:rFonts w:ascii="Verdana" w:hAnsi="Verdana"/>
          <w:lang w:val="nl-NL"/>
        </w:rPr>
        <w:t>on</w:t>
      </w:r>
      <w:proofErr w:type="spellEnd"/>
    </w:p>
    <w:p w14:paraId="377A1661" w14:textId="5DD4924D" w:rsidR="00F60FC6" w:rsidRDefault="00F60FC6" w:rsidP="00F60FC6">
      <w:pPr>
        <w:numPr>
          <w:ilvl w:val="0"/>
          <w:numId w:val="7"/>
        </w:numPr>
        <w:ind w:left="720"/>
        <w:rPr>
          <w:rFonts w:ascii="Verdana" w:hAnsi="Verdana"/>
          <w:lang w:val="en-US"/>
        </w:rPr>
      </w:pPr>
      <w:r w:rsidRPr="00F60FC6">
        <w:rPr>
          <w:rFonts w:ascii="Verdana" w:hAnsi="Verdana"/>
          <w:lang w:val="en-US"/>
        </w:rPr>
        <w:t xml:space="preserve">The CGN </w:t>
      </w:r>
      <w:r>
        <w:rPr>
          <w:rFonts w:ascii="Verdana" w:hAnsi="Verdana"/>
          <w:lang w:val="en-US"/>
        </w:rPr>
        <w:t xml:space="preserve">indicates </w:t>
      </w:r>
      <w:r w:rsidRPr="00F60FC6">
        <w:rPr>
          <w:rFonts w:ascii="Verdana" w:hAnsi="Verdana"/>
          <w:lang w:val="en-US"/>
        </w:rPr>
        <w:t>in which species cross-pollination occurs and accessions should be propagated in isolation.</w:t>
      </w:r>
    </w:p>
    <w:p w14:paraId="34B09E24" w14:textId="77777777" w:rsidR="007D1449" w:rsidRPr="00F60FC6" w:rsidRDefault="007D1449" w:rsidP="007D1449">
      <w:pPr>
        <w:ind w:left="720"/>
        <w:rPr>
          <w:rFonts w:ascii="Verdana" w:hAnsi="Verdana"/>
          <w:lang w:val="en-US"/>
        </w:rPr>
      </w:pPr>
    </w:p>
    <w:p w14:paraId="7E731102" w14:textId="17A67CE0" w:rsidR="003F2DE8" w:rsidRPr="00ED088D" w:rsidRDefault="003F2DE8" w:rsidP="00ED088D">
      <w:pPr>
        <w:numPr>
          <w:ilvl w:val="0"/>
          <w:numId w:val="13"/>
        </w:numPr>
        <w:rPr>
          <w:rFonts w:ascii="Verdana" w:hAnsi="Verdana"/>
          <w:lang w:val="nl-NL"/>
        </w:rPr>
      </w:pPr>
      <w:r w:rsidRPr="00ED088D">
        <w:rPr>
          <w:rFonts w:ascii="Verdana" w:hAnsi="Verdana"/>
          <w:lang w:val="nl-NL"/>
        </w:rPr>
        <w:t xml:space="preserve">Population size </w:t>
      </w:r>
    </w:p>
    <w:p w14:paraId="76489EF3" w14:textId="77777777" w:rsidR="00F60FC6" w:rsidRDefault="00F60FC6">
      <w:pPr>
        <w:numPr>
          <w:ilvl w:val="0"/>
          <w:numId w:val="7"/>
        </w:numPr>
        <w:ind w:left="720"/>
        <w:rPr>
          <w:rFonts w:ascii="Verdana" w:hAnsi="Verdana"/>
          <w:lang w:val="en-US"/>
        </w:rPr>
      </w:pPr>
      <w:r w:rsidRPr="00F60FC6">
        <w:rPr>
          <w:rFonts w:ascii="Verdana" w:hAnsi="Verdana"/>
          <w:lang w:val="en-US"/>
        </w:rPr>
        <w:t xml:space="preserve">A minimum of 10 plants are </w:t>
      </w:r>
      <w:r>
        <w:rPr>
          <w:rFonts w:ascii="Verdana" w:hAnsi="Verdana"/>
          <w:lang w:val="en-US"/>
        </w:rPr>
        <w:t>multiplied</w:t>
      </w:r>
      <w:r w:rsidRPr="00F60FC6">
        <w:rPr>
          <w:rFonts w:ascii="Verdana" w:hAnsi="Verdana"/>
          <w:lang w:val="en-US"/>
        </w:rPr>
        <w:t xml:space="preserve"> per accession</w:t>
      </w:r>
      <w:r>
        <w:rPr>
          <w:rFonts w:ascii="Verdana" w:hAnsi="Verdana"/>
          <w:lang w:val="en-US"/>
        </w:rPr>
        <w:t>.</w:t>
      </w:r>
    </w:p>
    <w:p w14:paraId="7FA8ED8D" w14:textId="77777777" w:rsidR="00F60FC6" w:rsidRDefault="00F60FC6" w:rsidP="00F60FC6">
      <w:pPr>
        <w:numPr>
          <w:ilvl w:val="0"/>
          <w:numId w:val="7"/>
        </w:numPr>
        <w:ind w:left="720"/>
        <w:rPr>
          <w:rFonts w:ascii="Verdana" w:hAnsi="Verdana"/>
          <w:lang w:val="en-US"/>
        </w:rPr>
      </w:pPr>
      <w:r w:rsidRPr="00F60FC6">
        <w:rPr>
          <w:rFonts w:ascii="Verdana" w:hAnsi="Verdana"/>
          <w:lang w:val="en-US"/>
        </w:rPr>
        <w:t>When transplanting, the required number of plants is chosen without applying selection in the population. However, plantlets that lag much behind in growth may be omitted if the lag would result in these plants ultimately not contributing to seed multiplication of the accession.</w:t>
      </w:r>
    </w:p>
    <w:p w14:paraId="1ED1B677" w14:textId="6E998750" w:rsidR="00AC6AC6" w:rsidRPr="00F60FC6" w:rsidRDefault="00F60FC6" w:rsidP="00F60FC6">
      <w:pPr>
        <w:numPr>
          <w:ilvl w:val="0"/>
          <w:numId w:val="7"/>
        </w:numPr>
        <w:ind w:left="720"/>
        <w:rPr>
          <w:rFonts w:ascii="Verdana" w:hAnsi="Verdana"/>
          <w:lang w:val="en-US"/>
        </w:rPr>
      </w:pPr>
      <w:r w:rsidRPr="00F60FC6">
        <w:rPr>
          <w:rFonts w:ascii="Verdana" w:hAnsi="Verdana"/>
          <w:lang w:val="en-US"/>
        </w:rPr>
        <w:t xml:space="preserve">The number of plants that have been included in a multiplication is recorded for every accession. </w:t>
      </w:r>
      <w:bookmarkStart w:id="2" w:name="_Hlk165043126"/>
      <w:r w:rsidRPr="00F60FC6">
        <w:rPr>
          <w:rFonts w:ascii="Verdana" w:hAnsi="Verdana"/>
        </w:rPr>
        <w:t xml:space="preserve">These data are </w:t>
      </w:r>
      <w:r w:rsidRPr="00F60FC6">
        <w:rPr>
          <w:rFonts w:ascii="Verdana" w:hAnsi="Verdana"/>
          <w:lang w:val="en-US"/>
        </w:rPr>
        <w:t>copied into</w:t>
      </w:r>
      <w:r w:rsidRPr="00F60FC6">
        <w:rPr>
          <w:rFonts w:ascii="Verdana" w:hAnsi="Verdana"/>
        </w:rPr>
        <w:t xml:space="preserve"> the Multiplication logbook.</w:t>
      </w:r>
    </w:p>
    <w:bookmarkEnd w:id="2"/>
    <w:p w14:paraId="6E51AC06" w14:textId="77777777" w:rsidR="00AC6AC6" w:rsidRPr="00F60FC6" w:rsidRDefault="00AC6AC6">
      <w:pPr>
        <w:rPr>
          <w:rFonts w:ascii="Verdana" w:hAnsi="Verdana"/>
          <w:lang w:val="en-US"/>
        </w:rPr>
      </w:pPr>
    </w:p>
    <w:p w14:paraId="4E41563E" w14:textId="6E81C204" w:rsidR="00AC6AC6" w:rsidRPr="00D56AA0" w:rsidRDefault="00F60FC6">
      <w:pPr>
        <w:numPr>
          <w:ilvl w:val="0"/>
          <w:numId w:val="14"/>
        </w:numPr>
        <w:rPr>
          <w:rFonts w:ascii="Verdana" w:hAnsi="Verdana"/>
          <w:lang w:val="nl-NL"/>
        </w:rPr>
      </w:pPr>
      <w:bookmarkStart w:id="3" w:name="_Hlk165043224"/>
      <w:proofErr w:type="spellStart"/>
      <w:r>
        <w:rPr>
          <w:rFonts w:ascii="Verdana" w:hAnsi="Verdana"/>
          <w:lang w:val="nl-NL"/>
        </w:rPr>
        <w:t>Sowing</w:t>
      </w:r>
      <w:proofErr w:type="spellEnd"/>
    </w:p>
    <w:p w14:paraId="59BCD05E" w14:textId="38E2CC78" w:rsidR="00F60FC6" w:rsidRPr="00337B40" w:rsidRDefault="00F60FC6" w:rsidP="00F60FC6">
      <w:pPr>
        <w:numPr>
          <w:ilvl w:val="0"/>
          <w:numId w:val="10"/>
        </w:numPr>
        <w:ind w:left="720"/>
        <w:rPr>
          <w:rFonts w:ascii="Verdana" w:hAnsi="Verdana"/>
          <w:lang w:val="en-US"/>
        </w:rPr>
      </w:pPr>
      <w:r w:rsidRPr="00F60FC6">
        <w:rPr>
          <w:rFonts w:ascii="Verdana" w:hAnsi="Verdana"/>
          <w:lang w:val="en-US"/>
        </w:rPr>
        <w:t xml:space="preserve">The possibility of dormancy or poor germination capacity of the seed is taken into account. Germination advice sent with the seeds from CGN or own methods of breeders are followed. </w:t>
      </w:r>
    </w:p>
    <w:p w14:paraId="56074338" w14:textId="77777777" w:rsidR="00EE46CD" w:rsidRDefault="00EE46CD" w:rsidP="00EE46CD">
      <w:pPr>
        <w:numPr>
          <w:ilvl w:val="0"/>
          <w:numId w:val="10"/>
        </w:numPr>
        <w:ind w:left="720"/>
        <w:rPr>
          <w:rFonts w:ascii="Verdana" w:hAnsi="Verdana"/>
          <w:lang w:val="en-US"/>
        </w:rPr>
      </w:pPr>
      <w:r w:rsidRPr="00EE46CD">
        <w:rPr>
          <w:rFonts w:ascii="Verdana" w:hAnsi="Verdana"/>
          <w:lang w:val="en-US"/>
        </w:rPr>
        <w:t>The number of seeds to be sown will be determined by the CGN.</w:t>
      </w:r>
    </w:p>
    <w:p w14:paraId="5E94602E" w14:textId="32A1C48A" w:rsidR="00EE46CD" w:rsidRPr="00EE46CD" w:rsidRDefault="00EE46CD" w:rsidP="00EE46CD">
      <w:pPr>
        <w:numPr>
          <w:ilvl w:val="0"/>
          <w:numId w:val="10"/>
        </w:numPr>
        <w:ind w:left="720"/>
        <w:rPr>
          <w:rFonts w:ascii="Verdana" w:hAnsi="Verdana"/>
          <w:lang w:val="en-US"/>
        </w:rPr>
      </w:pPr>
      <w:r w:rsidRPr="00EE46CD">
        <w:rPr>
          <w:rFonts w:ascii="Verdana" w:hAnsi="Verdana"/>
          <w:lang w:val="en-US"/>
        </w:rPr>
        <w:t>If material germinates poorly or very slowly, these findings are recorded and copied into the Multiplication logbook.</w:t>
      </w:r>
    </w:p>
    <w:bookmarkEnd w:id="3"/>
    <w:p w14:paraId="510F1521" w14:textId="77777777" w:rsidR="00AC6AC6" w:rsidRPr="00F60FC6" w:rsidRDefault="00AC6AC6">
      <w:pPr>
        <w:rPr>
          <w:rFonts w:ascii="Verdana" w:hAnsi="Verdana"/>
          <w:lang w:val="en-US"/>
        </w:rPr>
      </w:pPr>
    </w:p>
    <w:p w14:paraId="4AAA8268" w14:textId="09E9296B" w:rsidR="00AC6AC6" w:rsidRPr="00D56AA0" w:rsidRDefault="00EE46CD">
      <w:pPr>
        <w:numPr>
          <w:ilvl w:val="0"/>
          <w:numId w:val="32"/>
        </w:numPr>
        <w:rPr>
          <w:rFonts w:ascii="Verdana" w:hAnsi="Verdana"/>
          <w:lang w:val="nl-NL"/>
        </w:rPr>
      </w:pPr>
      <w:bookmarkStart w:id="4" w:name="_Hlk165043328"/>
      <w:proofErr w:type="spellStart"/>
      <w:r>
        <w:rPr>
          <w:rFonts w:ascii="Verdana" w:hAnsi="Verdana"/>
          <w:lang w:val="nl-NL"/>
        </w:rPr>
        <w:t>V</w:t>
      </w:r>
      <w:r w:rsidR="00AC6AC6" w:rsidRPr="00D56AA0">
        <w:rPr>
          <w:rFonts w:ascii="Verdana" w:hAnsi="Verdana"/>
          <w:lang w:val="nl-NL"/>
        </w:rPr>
        <w:t>ernali</w:t>
      </w:r>
      <w:r w:rsidR="00543F4F">
        <w:rPr>
          <w:rFonts w:ascii="Verdana" w:hAnsi="Verdana"/>
          <w:lang w:val="nl-NL"/>
        </w:rPr>
        <w:t>s</w:t>
      </w:r>
      <w:r w:rsidR="00AC6AC6" w:rsidRPr="00D56AA0">
        <w:rPr>
          <w:rFonts w:ascii="Verdana" w:hAnsi="Verdana"/>
          <w:lang w:val="nl-NL"/>
        </w:rPr>
        <w:t>ati</w:t>
      </w:r>
      <w:r>
        <w:rPr>
          <w:rFonts w:ascii="Verdana" w:hAnsi="Verdana"/>
          <w:lang w:val="nl-NL"/>
        </w:rPr>
        <w:t>on</w:t>
      </w:r>
      <w:proofErr w:type="spellEnd"/>
    </w:p>
    <w:p w14:paraId="471472AE" w14:textId="591E2DB2" w:rsidR="00337B40" w:rsidRPr="00A57816" w:rsidRDefault="00EE46CD" w:rsidP="00337B40">
      <w:pPr>
        <w:numPr>
          <w:ilvl w:val="0"/>
          <w:numId w:val="10"/>
        </w:numPr>
        <w:ind w:left="720"/>
        <w:rPr>
          <w:rFonts w:ascii="Verdana" w:hAnsi="Verdana"/>
          <w:lang w:val="en-US"/>
        </w:rPr>
      </w:pPr>
      <w:bookmarkStart w:id="5" w:name="_Hlk155703178"/>
      <w:bookmarkStart w:id="6" w:name="_Hlk165043284"/>
      <w:r w:rsidRPr="00337B40">
        <w:rPr>
          <w:rFonts w:ascii="Verdana" w:hAnsi="Verdana"/>
          <w:lang w:val="en-US"/>
        </w:rPr>
        <w:t xml:space="preserve">The CGN specifies the accessions to be vernalized and the minimum length of the </w:t>
      </w:r>
      <w:proofErr w:type="spellStart"/>
      <w:r w:rsidRPr="00337B40">
        <w:rPr>
          <w:rFonts w:ascii="Verdana" w:hAnsi="Verdana"/>
          <w:lang w:val="en-US"/>
        </w:rPr>
        <w:t>vernali</w:t>
      </w:r>
      <w:r w:rsidR="00543F4F">
        <w:rPr>
          <w:rFonts w:ascii="Verdana" w:hAnsi="Verdana"/>
          <w:lang w:val="en-US"/>
        </w:rPr>
        <w:t>s</w:t>
      </w:r>
      <w:r w:rsidRPr="00337B40">
        <w:rPr>
          <w:rFonts w:ascii="Verdana" w:hAnsi="Verdana"/>
          <w:lang w:val="en-US"/>
        </w:rPr>
        <w:t>ation</w:t>
      </w:r>
      <w:proofErr w:type="spellEnd"/>
      <w:r w:rsidRPr="00337B40">
        <w:rPr>
          <w:rFonts w:ascii="Verdana" w:hAnsi="Verdana"/>
          <w:lang w:val="en-US"/>
        </w:rPr>
        <w:t xml:space="preserve"> period. </w:t>
      </w:r>
      <w:bookmarkEnd w:id="5"/>
      <w:r w:rsidRPr="00337B40">
        <w:rPr>
          <w:rFonts w:ascii="Verdana" w:hAnsi="Verdana"/>
        </w:rPr>
        <w:t>These data are copied into the Multiplication logbook.</w:t>
      </w:r>
      <w:bookmarkEnd w:id="4"/>
      <w:bookmarkEnd w:id="6"/>
    </w:p>
    <w:p w14:paraId="394D554E" w14:textId="77777777" w:rsidR="00EE46CD" w:rsidRPr="00EE46CD" w:rsidRDefault="00EE46CD" w:rsidP="00EE46CD">
      <w:pPr>
        <w:ind w:left="720"/>
        <w:rPr>
          <w:rFonts w:ascii="Verdana" w:hAnsi="Verdana"/>
          <w:lang w:val="en-US"/>
        </w:rPr>
      </w:pPr>
    </w:p>
    <w:p w14:paraId="2D5FA3D7" w14:textId="0BC7FA93" w:rsidR="00AC6AC6" w:rsidRPr="00D56AA0" w:rsidRDefault="00EE46CD">
      <w:pPr>
        <w:numPr>
          <w:ilvl w:val="0"/>
          <w:numId w:val="27"/>
        </w:numPr>
        <w:rPr>
          <w:rFonts w:ascii="Verdana" w:hAnsi="Verdana"/>
          <w:lang w:val="nl-NL"/>
        </w:rPr>
      </w:pPr>
      <w:bookmarkStart w:id="7" w:name="_Hlk165121348"/>
      <w:bookmarkStart w:id="8" w:name="_Hlk165043461"/>
      <w:proofErr w:type="spellStart"/>
      <w:r>
        <w:rPr>
          <w:rFonts w:ascii="Verdana" w:hAnsi="Verdana"/>
          <w:lang w:val="nl-NL"/>
        </w:rPr>
        <w:t>Cultivation</w:t>
      </w:r>
      <w:proofErr w:type="spellEnd"/>
    </w:p>
    <w:p w14:paraId="6F2B0CE0" w14:textId="1B97ECD3" w:rsidR="00EE46CD" w:rsidRPr="00BF184A" w:rsidRDefault="00EE46CD" w:rsidP="00EE46CD">
      <w:pPr>
        <w:numPr>
          <w:ilvl w:val="0"/>
          <w:numId w:val="7"/>
        </w:numPr>
        <w:ind w:left="720"/>
        <w:rPr>
          <w:rFonts w:ascii="Verdana" w:hAnsi="Verdana"/>
        </w:rPr>
      </w:pPr>
      <w:r w:rsidRPr="00BF184A">
        <w:rPr>
          <w:rFonts w:ascii="Verdana" w:hAnsi="Verdana"/>
        </w:rPr>
        <w:t xml:space="preserve">No selection takes place. However, in case an accession is more </w:t>
      </w:r>
      <w:bookmarkEnd w:id="7"/>
      <w:r w:rsidRPr="00BF184A">
        <w:rPr>
          <w:rFonts w:ascii="Verdana" w:hAnsi="Verdana"/>
        </w:rPr>
        <w:t xml:space="preserve">heterogenic than expected from the passport data or in case of a mixture of different species or crop types, CGN needs to be consulted and CGN </w:t>
      </w:r>
      <w:r w:rsidRPr="00BF184A">
        <w:rPr>
          <w:rFonts w:ascii="Verdana" w:hAnsi="Verdana"/>
        </w:rPr>
        <w:lastRenderedPageBreak/>
        <w:t xml:space="preserve">decides if and how selection will take place. This is being recorded and copied into the Multiplication logbook.  </w:t>
      </w:r>
    </w:p>
    <w:bookmarkEnd w:id="8"/>
    <w:p w14:paraId="06B5B428" w14:textId="2114A9B0" w:rsidR="00EE46CD" w:rsidRPr="00EE46CD" w:rsidRDefault="006B645A" w:rsidP="00773605">
      <w:pPr>
        <w:pStyle w:val="EnvelopeReturn"/>
        <w:numPr>
          <w:ilvl w:val="0"/>
          <w:numId w:val="7"/>
        </w:numPr>
        <w:tabs>
          <w:tab w:val="clear" w:pos="360"/>
          <w:tab w:val="num" w:pos="720"/>
        </w:tabs>
        <w:ind w:left="720"/>
        <w:rPr>
          <w:rFonts w:ascii="Verdana" w:hAnsi="Verdana"/>
          <w:lang w:val="en-US"/>
        </w:rPr>
      </w:pPr>
      <w:r w:rsidRPr="006B645A">
        <w:rPr>
          <w:rFonts w:ascii="Verdana" w:hAnsi="Verdana"/>
          <w:lang w:val="en-US"/>
        </w:rPr>
        <w:t xml:space="preserve">Wild species are prone to </w:t>
      </w:r>
      <w:r w:rsidR="00D33316">
        <w:rPr>
          <w:rFonts w:ascii="Verdana" w:hAnsi="Verdana"/>
          <w:lang w:val="en-US"/>
        </w:rPr>
        <w:t>lodge</w:t>
      </w:r>
      <w:r w:rsidRPr="006B645A">
        <w:rPr>
          <w:rFonts w:ascii="Verdana" w:hAnsi="Verdana"/>
          <w:lang w:val="en-US"/>
        </w:rPr>
        <w:t xml:space="preserve"> and need to be supported or tied.</w:t>
      </w:r>
    </w:p>
    <w:p w14:paraId="00B2BE0D" w14:textId="77777777" w:rsidR="00AC6AC6" w:rsidRPr="00EE46CD" w:rsidRDefault="00AC6AC6">
      <w:pPr>
        <w:ind w:left="360"/>
        <w:rPr>
          <w:rFonts w:ascii="Verdana" w:hAnsi="Verdana"/>
          <w:lang w:val="en-US"/>
        </w:rPr>
      </w:pPr>
    </w:p>
    <w:p w14:paraId="6431AA53" w14:textId="54F5D42A" w:rsidR="00AC6AC6" w:rsidRPr="00D56AA0" w:rsidRDefault="006B645A">
      <w:pPr>
        <w:numPr>
          <w:ilvl w:val="0"/>
          <w:numId w:val="15"/>
        </w:numPr>
        <w:rPr>
          <w:rFonts w:ascii="Verdana" w:hAnsi="Verdana"/>
          <w:lang w:val="nl-NL"/>
        </w:rPr>
      </w:pPr>
      <w:bookmarkStart w:id="9" w:name="_Hlk165043502"/>
      <w:proofErr w:type="spellStart"/>
      <w:r>
        <w:rPr>
          <w:rFonts w:ascii="Verdana" w:hAnsi="Verdana"/>
          <w:lang w:val="nl-NL"/>
        </w:rPr>
        <w:t>P</w:t>
      </w:r>
      <w:r w:rsidRPr="006B645A">
        <w:rPr>
          <w:rFonts w:ascii="Verdana" w:hAnsi="Verdana"/>
          <w:lang w:val="nl-NL"/>
        </w:rPr>
        <w:t>ollination</w:t>
      </w:r>
      <w:proofErr w:type="spellEnd"/>
    </w:p>
    <w:p w14:paraId="2A3B5DCF" w14:textId="4EB3A92F" w:rsidR="006B645A" w:rsidRPr="006B645A" w:rsidRDefault="006B645A">
      <w:pPr>
        <w:numPr>
          <w:ilvl w:val="0"/>
          <w:numId w:val="7"/>
        </w:numPr>
        <w:ind w:left="720"/>
        <w:rPr>
          <w:rFonts w:ascii="Verdana" w:hAnsi="Verdana"/>
          <w:lang w:val="en-US"/>
        </w:rPr>
      </w:pPr>
      <w:r w:rsidRPr="006B645A">
        <w:rPr>
          <w:rFonts w:ascii="Verdana" w:hAnsi="Verdana"/>
          <w:lang w:val="en-US"/>
        </w:rPr>
        <w:t xml:space="preserve">Species that are </w:t>
      </w:r>
      <w:r w:rsidR="00103F57">
        <w:rPr>
          <w:rFonts w:ascii="Verdana" w:hAnsi="Verdana"/>
          <w:lang w:val="en-US"/>
        </w:rPr>
        <w:t>self-</w:t>
      </w:r>
      <w:r w:rsidRPr="006B645A">
        <w:rPr>
          <w:rFonts w:ascii="Verdana" w:hAnsi="Verdana"/>
          <w:lang w:val="en-US"/>
        </w:rPr>
        <w:t xml:space="preserve">incompatible </w:t>
      </w:r>
      <w:r w:rsidR="00103F57">
        <w:rPr>
          <w:rFonts w:ascii="Verdana" w:hAnsi="Verdana"/>
          <w:lang w:val="en-US"/>
        </w:rPr>
        <w:t xml:space="preserve">and </w:t>
      </w:r>
      <w:r w:rsidRPr="006B645A">
        <w:rPr>
          <w:rFonts w:ascii="Verdana" w:hAnsi="Verdana"/>
          <w:lang w:val="en-US"/>
        </w:rPr>
        <w:t>where cross-pollination should take place are identified by the CGN.</w:t>
      </w:r>
    </w:p>
    <w:bookmarkEnd w:id="9"/>
    <w:p w14:paraId="61231C1D" w14:textId="77777777" w:rsidR="00AC6AC6" w:rsidRPr="006B645A" w:rsidRDefault="00AC6AC6">
      <w:pPr>
        <w:rPr>
          <w:rFonts w:ascii="Verdana" w:hAnsi="Verdana"/>
          <w:lang w:val="en-US"/>
        </w:rPr>
      </w:pPr>
    </w:p>
    <w:p w14:paraId="1AFA67BE" w14:textId="66AC2DFD" w:rsidR="00AC6AC6" w:rsidRPr="00D56AA0" w:rsidRDefault="006B645A">
      <w:pPr>
        <w:numPr>
          <w:ilvl w:val="0"/>
          <w:numId w:val="26"/>
        </w:numPr>
        <w:rPr>
          <w:rFonts w:ascii="Verdana" w:hAnsi="Verdana"/>
          <w:lang w:val="nl-NL"/>
        </w:rPr>
      </w:pPr>
      <w:bookmarkStart w:id="10" w:name="_Hlk165043579"/>
      <w:proofErr w:type="spellStart"/>
      <w:r>
        <w:rPr>
          <w:rFonts w:ascii="Verdana" w:hAnsi="Verdana"/>
          <w:lang w:val="nl-NL"/>
        </w:rPr>
        <w:t>Harvest</w:t>
      </w:r>
      <w:proofErr w:type="spellEnd"/>
    </w:p>
    <w:p w14:paraId="18523AE4" w14:textId="34077EEE" w:rsidR="006B645A" w:rsidRDefault="006B645A">
      <w:pPr>
        <w:numPr>
          <w:ilvl w:val="0"/>
          <w:numId w:val="7"/>
        </w:numPr>
        <w:ind w:left="720"/>
        <w:rPr>
          <w:rFonts w:ascii="Verdana" w:hAnsi="Verdana"/>
          <w:lang w:val="en-US"/>
        </w:rPr>
      </w:pPr>
      <w:r w:rsidRPr="006B645A">
        <w:rPr>
          <w:rFonts w:ascii="Verdana" w:hAnsi="Verdana"/>
          <w:lang w:val="en-US"/>
        </w:rPr>
        <w:t xml:space="preserve">Because of a brittle spike, the ripe seed must be harvested regularly or the spikes are </w:t>
      </w:r>
      <w:r w:rsidR="00F70C37">
        <w:rPr>
          <w:rFonts w:ascii="Verdana" w:hAnsi="Verdana"/>
          <w:lang w:val="en-US"/>
        </w:rPr>
        <w:t>bagged</w:t>
      </w:r>
      <w:r w:rsidRPr="006B645A">
        <w:rPr>
          <w:rFonts w:ascii="Verdana" w:hAnsi="Verdana"/>
          <w:lang w:val="en-US"/>
        </w:rPr>
        <w:t xml:space="preserve"> before ripening.</w:t>
      </w:r>
    </w:p>
    <w:p w14:paraId="3F72BEDB" w14:textId="56EFD72D" w:rsidR="006B645A" w:rsidRPr="006B645A" w:rsidRDefault="00941963">
      <w:pPr>
        <w:numPr>
          <w:ilvl w:val="0"/>
          <w:numId w:val="7"/>
        </w:numPr>
        <w:ind w:left="720"/>
        <w:rPr>
          <w:rFonts w:ascii="Verdana" w:hAnsi="Verdana"/>
          <w:lang w:val="en-US"/>
        </w:rPr>
      </w:pPr>
      <w:r w:rsidRPr="00941963">
        <w:rPr>
          <w:rFonts w:ascii="Verdana" w:hAnsi="Verdana"/>
          <w:lang w:val="en-US"/>
        </w:rPr>
        <w:t>All seed produced will be returned to the CGN.</w:t>
      </w:r>
    </w:p>
    <w:bookmarkEnd w:id="10"/>
    <w:p w14:paraId="61DEE872" w14:textId="77777777" w:rsidR="00941963" w:rsidRPr="00337B40" w:rsidRDefault="00941963" w:rsidP="00941963">
      <w:pPr>
        <w:pStyle w:val="EnvelopeReturn"/>
        <w:rPr>
          <w:rFonts w:ascii="Verdana" w:hAnsi="Verdana"/>
          <w:lang w:val="en-US"/>
        </w:rPr>
      </w:pPr>
    </w:p>
    <w:p w14:paraId="2DBB7572" w14:textId="77777777" w:rsidR="00941963" w:rsidRPr="00BF184A" w:rsidRDefault="00941963" w:rsidP="00941963">
      <w:pPr>
        <w:rPr>
          <w:rFonts w:ascii="Verdana" w:hAnsi="Verdana"/>
          <w:u w:val="single"/>
        </w:rPr>
      </w:pPr>
      <w:bookmarkStart w:id="11" w:name="_Hlk165043908"/>
      <w:r w:rsidRPr="00BF184A">
        <w:rPr>
          <w:rFonts w:ascii="Verdana" w:hAnsi="Verdana"/>
          <w:u w:val="single"/>
        </w:rPr>
        <w:t>Maintaining identity</w:t>
      </w:r>
    </w:p>
    <w:p w14:paraId="0B95641E" w14:textId="45B62103" w:rsidR="00941963" w:rsidRPr="000B6908" w:rsidRDefault="000B6908" w:rsidP="00CB7AED">
      <w:pPr>
        <w:numPr>
          <w:ilvl w:val="0"/>
          <w:numId w:val="21"/>
        </w:numPr>
        <w:rPr>
          <w:rFonts w:ascii="Verdana" w:hAnsi="Verdana"/>
        </w:rPr>
      </w:pPr>
      <w:r w:rsidRPr="000B6908">
        <w:rPr>
          <w:rFonts w:ascii="Verdana" w:hAnsi="Verdana"/>
          <w:lang w:val="en-US" w:eastAsia="en-US"/>
        </w:rPr>
        <w:t>Character</w:t>
      </w:r>
      <w:proofErr w:type="spellStart"/>
      <w:r w:rsidRPr="000B6908">
        <w:rPr>
          <w:rFonts w:ascii="Verdana" w:hAnsi="Verdana"/>
          <w:lang w:val="nl-NL" w:eastAsia="en-US"/>
        </w:rPr>
        <w:t>istics</w:t>
      </w:r>
      <w:proofErr w:type="spellEnd"/>
    </w:p>
    <w:p w14:paraId="7D2E943C" w14:textId="72DF26EF" w:rsidR="00941963" w:rsidRPr="00BF184A" w:rsidRDefault="00941963" w:rsidP="00941963">
      <w:pPr>
        <w:numPr>
          <w:ilvl w:val="0"/>
          <w:numId w:val="21"/>
        </w:numPr>
        <w:tabs>
          <w:tab w:val="clear" w:pos="360"/>
          <w:tab w:val="num" w:pos="720"/>
        </w:tabs>
        <w:ind w:left="720"/>
        <w:rPr>
          <w:rFonts w:ascii="Verdana" w:hAnsi="Verdana"/>
        </w:rPr>
      </w:pPr>
      <w:r w:rsidRPr="00BF184A">
        <w:rPr>
          <w:rFonts w:ascii="Verdana" w:hAnsi="Verdana"/>
        </w:rPr>
        <w:t>During sowing, cultivation and harvesting, accessions should be clearly marked with a label indicating the field number. All field numbers assigned prior to seed sowing should remain unchanged up to and including harvesting and seed cleaning.</w:t>
      </w:r>
      <w:r>
        <w:rPr>
          <w:rFonts w:ascii="Verdana" w:hAnsi="Verdana"/>
        </w:rPr>
        <w:br/>
      </w:r>
    </w:p>
    <w:p w14:paraId="60835FD0" w14:textId="35309E2E" w:rsidR="00941963" w:rsidRPr="00BF184A" w:rsidRDefault="00941963" w:rsidP="00941963">
      <w:pPr>
        <w:numPr>
          <w:ilvl w:val="0"/>
          <w:numId w:val="21"/>
        </w:numPr>
        <w:rPr>
          <w:rFonts w:ascii="Verdana" w:hAnsi="Verdana"/>
        </w:rPr>
      </w:pPr>
      <w:r>
        <w:rPr>
          <w:rFonts w:ascii="Verdana" w:hAnsi="Verdana"/>
        </w:rPr>
        <w:t>Harvest</w:t>
      </w:r>
    </w:p>
    <w:p w14:paraId="5D105622" w14:textId="4D57FA83" w:rsidR="00AC6AC6" w:rsidRDefault="00941963" w:rsidP="00941963">
      <w:pPr>
        <w:pStyle w:val="EnvelopeReturn"/>
        <w:numPr>
          <w:ilvl w:val="0"/>
          <w:numId w:val="37"/>
        </w:numPr>
        <w:rPr>
          <w:rFonts w:ascii="Verdana" w:hAnsi="Verdana"/>
        </w:rPr>
      </w:pPr>
      <w:r w:rsidRPr="00941963">
        <w:rPr>
          <w:rFonts w:ascii="Verdana" w:hAnsi="Verdana"/>
        </w:rPr>
        <w:t>When harvesting, care is taken to avoid mixing with seed from neighbouring fields.</w:t>
      </w:r>
    </w:p>
    <w:bookmarkEnd w:id="11"/>
    <w:p w14:paraId="4A8F246F" w14:textId="77777777" w:rsidR="00941963" w:rsidRDefault="00941963" w:rsidP="00941963">
      <w:pPr>
        <w:pStyle w:val="EnvelopeReturn"/>
        <w:rPr>
          <w:rFonts w:ascii="Verdana" w:hAnsi="Verdana"/>
        </w:rPr>
      </w:pPr>
    </w:p>
    <w:p w14:paraId="193D86CA" w14:textId="77777777" w:rsidR="00941963" w:rsidRPr="00BF184A" w:rsidRDefault="00941963" w:rsidP="00941963">
      <w:pPr>
        <w:rPr>
          <w:rFonts w:ascii="Verdana" w:hAnsi="Verdana"/>
          <w:u w:val="single"/>
        </w:rPr>
      </w:pPr>
      <w:bookmarkStart w:id="12" w:name="_Hlk165043966"/>
      <w:r w:rsidRPr="00BF184A">
        <w:rPr>
          <w:rFonts w:ascii="Verdana" w:hAnsi="Verdana"/>
          <w:u w:val="single"/>
        </w:rPr>
        <w:t>Maintaining seed quality:</w:t>
      </w:r>
    </w:p>
    <w:p w14:paraId="6868BA0A" w14:textId="77777777" w:rsidR="00941963" w:rsidRPr="00BF184A" w:rsidRDefault="00941963" w:rsidP="00941963">
      <w:pPr>
        <w:numPr>
          <w:ilvl w:val="0"/>
          <w:numId w:val="8"/>
        </w:numPr>
        <w:rPr>
          <w:rFonts w:ascii="Verdana" w:hAnsi="Verdana"/>
        </w:rPr>
      </w:pPr>
      <w:bookmarkStart w:id="13" w:name="_Hlk165043952"/>
      <w:r w:rsidRPr="00BF184A">
        <w:rPr>
          <w:rFonts w:ascii="Verdana" w:hAnsi="Verdana"/>
        </w:rPr>
        <w:t xml:space="preserve">Seed decontamination before sowing </w:t>
      </w:r>
    </w:p>
    <w:p w14:paraId="14B5F67D" w14:textId="021F6D5D" w:rsidR="00941963" w:rsidRPr="00941963" w:rsidRDefault="00941963" w:rsidP="00941963">
      <w:pPr>
        <w:numPr>
          <w:ilvl w:val="0"/>
          <w:numId w:val="8"/>
        </w:numPr>
        <w:tabs>
          <w:tab w:val="clear" w:pos="360"/>
          <w:tab w:val="num" w:pos="720"/>
        </w:tabs>
        <w:ind w:left="720"/>
        <w:rPr>
          <w:rFonts w:ascii="Verdana" w:hAnsi="Verdana"/>
        </w:rPr>
      </w:pPr>
      <w:r w:rsidRPr="00941963">
        <w:rPr>
          <w:rFonts w:ascii="Verdana" w:hAnsi="Verdana"/>
        </w:rPr>
        <w:t>The seed is disinfected according to permitted methods</w:t>
      </w:r>
      <w:r w:rsidR="009F6224">
        <w:rPr>
          <w:rFonts w:ascii="Verdana" w:hAnsi="Verdana"/>
        </w:rPr>
        <w:t>.</w:t>
      </w:r>
    </w:p>
    <w:p w14:paraId="23BDDF9F" w14:textId="77777777" w:rsidR="00941963" w:rsidRPr="00BF184A" w:rsidRDefault="00941963" w:rsidP="00941963">
      <w:pPr>
        <w:pStyle w:val="EnvelopeReturn"/>
        <w:rPr>
          <w:rFonts w:ascii="Verdana" w:hAnsi="Verdana"/>
        </w:rPr>
      </w:pPr>
    </w:p>
    <w:p w14:paraId="463891CE" w14:textId="77777777" w:rsidR="00941963" w:rsidRPr="00BF184A" w:rsidRDefault="00941963" w:rsidP="00941963">
      <w:pPr>
        <w:numPr>
          <w:ilvl w:val="0"/>
          <w:numId w:val="19"/>
        </w:numPr>
        <w:rPr>
          <w:rFonts w:ascii="Verdana" w:hAnsi="Verdana"/>
        </w:rPr>
      </w:pPr>
      <w:bookmarkStart w:id="14" w:name="_Hlk165121416"/>
      <w:r w:rsidRPr="00BF184A">
        <w:rPr>
          <w:rFonts w:ascii="Verdana" w:hAnsi="Verdana"/>
        </w:rPr>
        <w:t>Inspection</w:t>
      </w:r>
    </w:p>
    <w:p w14:paraId="72637983" w14:textId="393FACAA" w:rsidR="00941963" w:rsidRPr="001965B7" w:rsidRDefault="00941963" w:rsidP="001965B7">
      <w:pPr>
        <w:numPr>
          <w:ilvl w:val="0"/>
          <w:numId w:val="7"/>
        </w:numPr>
        <w:tabs>
          <w:tab w:val="clear" w:pos="360"/>
          <w:tab w:val="num" w:pos="720"/>
        </w:tabs>
        <w:ind w:left="720"/>
        <w:rPr>
          <w:rFonts w:ascii="Verdana" w:hAnsi="Verdana"/>
        </w:rPr>
      </w:pPr>
      <w:r w:rsidRPr="001965B7">
        <w:rPr>
          <w:rFonts w:ascii="Verdana" w:hAnsi="Verdana"/>
        </w:rPr>
        <w:t>Spraying is done against mildew and aphids.</w:t>
      </w:r>
    </w:p>
    <w:p w14:paraId="0C92E6BB" w14:textId="77777777" w:rsidR="00941963" w:rsidRPr="00BF184A" w:rsidRDefault="00941963" w:rsidP="00941963">
      <w:pPr>
        <w:ind w:left="720"/>
        <w:rPr>
          <w:rFonts w:ascii="Verdana" w:hAnsi="Verdana"/>
        </w:rPr>
      </w:pPr>
    </w:p>
    <w:p w14:paraId="7AAA3B45" w14:textId="77777777" w:rsidR="00941963" w:rsidRPr="00BF184A" w:rsidRDefault="00941963" w:rsidP="00941963">
      <w:pPr>
        <w:numPr>
          <w:ilvl w:val="0"/>
          <w:numId w:val="7"/>
        </w:numPr>
        <w:tabs>
          <w:tab w:val="clear" w:pos="360"/>
          <w:tab w:val="num" w:pos="0"/>
        </w:tabs>
        <w:rPr>
          <w:rFonts w:ascii="Verdana" w:hAnsi="Verdana"/>
        </w:rPr>
      </w:pPr>
      <w:r w:rsidRPr="00BF184A">
        <w:rPr>
          <w:rFonts w:ascii="Verdana" w:hAnsi="Verdana"/>
        </w:rPr>
        <w:t>Seed treatment after harvest</w:t>
      </w:r>
    </w:p>
    <w:p w14:paraId="3DA9C08B" w14:textId="77777777" w:rsidR="001965B7" w:rsidRDefault="001965B7" w:rsidP="001965B7">
      <w:pPr>
        <w:numPr>
          <w:ilvl w:val="0"/>
          <w:numId w:val="7"/>
        </w:numPr>
        <w:ind w:left="720"/>
        <w:rPr>
          <w:rFonts w:ascii="Verdana" w:hAnsi="Verdana"/>
        </w:rPr>
      </w:pPr>
      <w:r w:rsidRPr="001965B7">
        <w:rPr>
          <w:rFonts w:ascii="Verdana" w:hAnsi="Verdana"/>
        </w:rPr>
        <w:t>Bags with the harvested plant parts are pre-dried, 3-7 days at 25 - 30 ˚C.</w:t>
      </w:r>
    </w:p>
    <w:p w14:paraId="2712AED1" w14:textId="4E481065" w:rsidR="00941963" w:rsidRPr="001965B7" w:rsidRDefault="00941963" w:rsidP="001965B7">
      <w:pPr>
        <w:numPr>
          <w:ilvl w:val="0"/>
          <w:numId w:val="7"/>
        </w:numPr>
        <w:ind w:left="720"/>
        <w:rPr>
          <w:rFonts w:ascii="Verdana" w:hAnsi="Verdana"/>
        </w:rPr>
      </w:pPr>
      <w:r w:rsidRPr="001965B7">
        <w:rPr>
          <w:rFonts w:ascii="Verdana" w:hAnsi="Verdana"/>
        </w:rPr>
        <w:t>The method of seed cleaning is being decided in consultation with CGN.</w:t>
      </w:r>
    </w:p>
    <w:bookmarkEnd w:id="13"/>
    <w:bookmarkEnd w:id="14"/>
    <w:p w14:paraId="4198DAE7" w14:textId="77777777" w:rsidR="00773605" w:rsidRPr="00337B40" w:rsidRDefault="00773605" w:rsidP="001965B7">
      <w:pPr>
        <w:pStyle w:val="EnvelopeReturn"/>
        <w:jc w:val="both"/>
        <w:rPr>
          <w:rFonts w:ascii="Verdana" w:hAnsi="Verdana"/>
          <w:lang w:val="en-US"/>
        </w:rPr>
      </w:pPr>
    </w:p>
    <w:p w14:paraId="094C55B1" w14:textId="77777777" w:rsidR="001965B7" w:rsidRPr="00854DF9" w:rsidRDefault="001965B7" w:rsidP="001965B7">
      <w:pPr>
        <w:pStyle w:val="EnvelopeReturn"/>
        <w:rPr>
          <w:rFonts w:ascii="Verdana" w:hAnsi="Verdana"/>
        </w:rPr>
      </w:pPr>
      <w:bookmarkStart w:id="15" w:name="_Hlk165044427"/>
      <w:bookmarkEnd w:id="12"/>
      <w:r w:rsidRPr="00854DF9">
        <w:rPr>
          <w:rFonts w:ascii="Verdana" w:hAnsi="Verdana"/>
          <w:b/>
        </w:rPr>
        <w:t>Concluding actions</w:t>
      </w:r>
    </w:p>
    <w:p w14:paraId="508014DB" w14:textId="77777777" w:rsidR="001965B7" w:rsidRPr="00796FEE" w:rsidRDefault="001965B7" w:rsidP="001965B7">
      <w:pPr>
        <w:numPr>
          <w:ilvl w:val="0"/>
          <w:numId w:val="9"/>
        </w:numPr>
        <w:rPr>
          <w:rFonts w:ascii="Verdana" w:hAnsi="Verdana"/>
          <w:lang w:val="en-US"/>
        </w:rPr>
      </w:pPr>
      <w:r w:rsidRPr="00E72956">
        <w:rPr>
          <w:rFonts w:ascii="Verdana" w:hAnsi="Verdana"/>
          <w:lang w:val="en-US"/>
        </w:rPr>
        <w:t xml:space="preserve">All deviations during cultivation are noted and sent with the seed. </w:t>
      </w:r>
      <w:r w:rsidRPr="00796FEE">
        <w:rPr>
          <w:rFonts w:ascii="Verdana" w:hAnsi="Verdana"/>
          <w:lang w:val="en-US"/>
        </w:rPr>
        <w:t xml:space="preserve">These notes are copied into the </w:t>
      </w:r>
      <w:r w:rsidRPr="00854DF9">
        <w:rPr>
          <w:rFonts w:ascii="Verdana" w:hAnsi="Verdana"/>
        </w:rPr>
        <w:t>Multiplication logbook</w:t>
      </w:r>
      <w:r w:rsidRPr="00796FEE">
        <w:rPr>
          <w:rFonts w:ascii="Verdana" w:hAnsi="Verdana"/>
          <w:lang w:val="en-US"/>
        </w:rPr>
        <w:t>.</w:t>
      </w:r>
    </w:p>
    <w:p w14:paraId="5CAD002E" w14:textId="77777777" w:rsidR="001965B7" w:rsidRPr="00796FEE" w:rsidRDefault="001965B7" w:rsidP="001965B7">
      <w:pPr>
        <w:numPr>
          <w:ilvl w:val="0"/>
          <w:numId w:val="9"/>
        </w:numPr>
        <w:rPr>
          <w:rFonts w:ascii="Verdana" w:hAnsi="Verdana"/>
          <w:lang w:val="en-US"/>
        </w:rPr>
      </w:pPr>
      <w:r w:rsidRPr="00796FEE">
        <w:rPr>
          <w:rFonts w:ascii="Verdana" w:hAnsi="Verdana"/>
          <w:lang w:val="en-US"/>
        </w:rPr>
        <w:t>The harvested seed is sent to the CGN as soon as possible, but no later than 6 months after harvest, with the seed bags bearing the CGN number and field number.</w:t>
      </w:r>
    </w:p>
    <w:bookmarkEnd w:id="15"/>
    <w:p w14:paraId="7CDA01BE" w14:textId="244F17AF" w:rsidR="00AC6AC6" w:rsidRPr="001965B7" w:rsidRDefault="00AC6AC6" w:rsidP="001965B7">
      <w:pPr>
        <w:pStyle w:val="EnvelopeReturn"/>
        <w:rPr>
          <w:rFonts w:ascii="Verdana" w:hAnsi="Verdana"/>
          <w:lang w:val="en-US"/>
        </w:rPr>
      </w:pPr>
    </w:p>
    <w:sectPr w:rsidR="00AC6AC6" w:rsidRPr="001965B7">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F78C7" w14:textId="77777777" w:rsidR="00A33800" w:rsidRDefault="00A33800">
      <w:r>
        <w:separator/>
      </w:r>
    </w:p>
  </w:endnote>
  <w:endnote w:type="continuationSeparator" w:id="0">
    <w:p w14:paraId="7EE142B1" w14:textId="77777777" w:rsidR="00A33800" w:rsidRDefault="00A33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s Gothic M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023F6" w14:textId="77777777" w:rsidR="00A33800" w:rsidRDefault="00A33800">
      <w:r>
        <w:separator/>
      </w:r>
    </w:p>
  </w:footnote>
  <w:footnote w:type="continuationSeparator" w:id="0">
    <w:p w14:paraId="5190AE86" w14:textId="77777777" w:rsidR="00A33800" w:rsidRDefault="00A338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AC6AC6" w14:paraId="1812126B" w14:textId="77777777">
      <w:trPr>
        <w:trHeight w:val="1099"/>
      </w:trPr>
      <w:tc>
        <w:tcPr>
          <w:tcW w:w="7338" w:type="dxa"/>
        </w:tcPr>
        <w:p w14:paraId="01089279" w14:textId="77777777" w:rsidR="00AC6AC6" w:rsidRPr="00BA756C" w:rsidRDefault="00AC6AC6">
          <w:pPr>
            <w:pStyle w:val="Header"/>
            <w:rPr>
              <w:rStyle w:val="PageNumber"/>
              <w:sz w:val="16"/>
              <w:lang w:val="nl-NL"/>
            </w:rPr>
          </w:pPr>
          <w:r w:rsidRPr="00785014">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785014">
            <w:rPr>
              <w:rFonts w:ascii="Tahoma" w:hAnsi="Tahoma"/>
              <w:sz w:val="40"/>
              <w:lang w:val="nl-NL"/>
              <w14:shadow w14:blurRad="50800" w14:dist="38100" w14:dir="2700000" w14:sx="100000" w14:sy="100000" w14:kx="0" w14:ky="0" w14:algn="tl">
                <w14:srgbClr w14:val="000000">
                  <w14:alpha w14:val="60000"/>
                </w14:srgbClr>
              </w14:shadow>
            </w:rPr>
            <w:br/>
          </w:r>
          <w:r w:rsidRPr="00785014">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40E7CF8C" w14:textId="77777777" w:rsidR="00AC6AC6" w:rsidRDefault="00785014">
          <w:pPr>
            <w:pStyle w:val="Header"/>
            <w:rPr>
              <w:rStyle w:val="PageNumber"/>
              <w:sz w:val="16"/>
            </w:rPr>
          </w:pPr>
          <w:r>
            <w:rPr>
              <w:rFonts w:ascii="Tahoma" w:hAnsi="Tahoma"/>
              <w:b/>
              <w:noProof/>
              <w:sz w:val="40"/>
              <w:lang w:val="nl-NL"/>
            </w:rPr>
            <w:drawing>
              <wp:inline distT="0" distB="0" distL="0" distR="0" wp14:anchorId="1A41D794" wp14:editId="6AF7FD23">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AC6AC6" w14:paraId="30B83EE7" w14:textId="77777777">
      <w:trPr>
        <w:trHeight w:val="574"/>
      </w:trPr>
      <w:tc>
        <w:tcPr>
          <w:tcW w:w="7338" w:type="dxa"/>
        </w:tcPr>
        <w:p w14:paraId="085948AC" w14:textId="77777777" w:rsidR="00AC6AC6" w:rsidRDefault="00AC6AC6">
          <w:pPr>
            <w:pStyle w:val="Header"/>
            <w:tabs>
              <w:tab w:val="left" w:pos="851"/>
            </w:tabs>
            <w:rPr>
              <w:rStyle w:val="PageNumber"/>
              <w:sz w:val="16"/>
            </w:rPr>
          </w:pPr>
        </w:p>
        <w:p w14:paraId="6445B1FE" w14:textId="77777777" w:rsidR="00AC6AC6" w:rsidRDefault="00AC6AC6">
          <w:pPr>
            <w:pStyle w:val="Header"/>
            <w:tabs>
              <w:tab w:val="left" w:pos="851"/>
            </w:tabs>
            <w:rPr>
              <w:rStyle w:val="PageNumber"/>
              <w:b/>
              <w:sz w:val="16"/>
            </w:rPr>
          </w:pPr>
        </w:p>
        <w:p w14:paraId="60CA505D" w14:textId="1030C229" w:rsidR="00AC6AC6" w:rsidRPr="003F2DE8" w:rsidRDefault="00AC6AC6">
          <w:pPr>
            <w:pStyle w:val="Header"/>
            <w:tabs>
              <w:tab w:val="left" w:pos="851"/>
            </w:tabs>
            <w:rPr>
              <w:rStyle w:val="PageNumber"/>
              <w:rFonts w:ascii="News Gothic MT" w:hAnsi="News Gothic MT"/>
              <w:b/>
              <w:sz w:val="16"/>
              <w:szCs w:val="16"/>
              <w:lang w:val="en-US"/>
            </w:rPr>
          </w:pPr>
          <w:r w:rsidRPr="003F2DE8">
            <w:rPr>
              <w:rStyle w:val="PageNumber"/>
              <w:rFonts w:ascii="News Gothic MT" w:hAnsi="News Gothic MT"/>
              <w:b/>
              <w:sz w:val="16"/>
              <w:szCs w:val="16"/>
              <w:lang w:val="en-US"/>
            </w:rPr>
            <w:t xml:space="preserve">PRT-CGN-PG-112 PROTOCOL </w:t>
          </w:r>
          <w:r w:rsidR="003F2DE8" w:rsidRPr="003F2DE8">
            <w:rPr>
              <w:rFonts w:ascii="News Gothic MT" w:hAnsi="News Gothic MT"/>
              <w:b/>
              <w:caps/>
              <w:sz w:val="16"/>
              <w:szCs w:val="16"/>
              <w:lang w:val="en-US"/>
            </w:rPr>
            <w:t>multiplication wild cereals</w:t>
          </w:r>
        </w:p>
        <w:p w14:paraId="4C79D9A0" w14:textId="77777777" w:rsidR="00AC6AC6" w:rsidRPr="003F2DE8" w:rsidRDefault="00AC6AC6">
          <w:pPr>
            <w:pStyle w:val="Header"/>
            <w:tabs>
              <w:tab w:val="left" w:pos="851"/>
            </w:tabs>
            <w:rPr>
              <w:rStyle w:val="PageNumber"/>
              <w:sz w:val="16"/>
              <w:lang w:val="en-US"/>
            </w:rPr>
          </w:pPr>
          <w:r w:rsidRPr="003F2DE8">
            <w:rPr>
              <w:rStyle w:val="PageNumber"/>
              <w:sz w:val="16"/>
              <w:lang w:val="en-US"/>
            </w:rPr>
            <w:tab/>
          </w:r>
        </w:p>
        <w:p w14:paraId="799EA0CB" w14:textId="77777777" w:rsidR="00AC6AC6" w:rsidRPr="003F2DE8" w:rsidRDefault="00AC6AC6">
          <w:pPr>
            <w:pStyle w:val="Header"/>
            <w:tabs>
              <w:tab w:val="left" w:pos="851"/>
            </w:tabs>
            <w:rPr>
              <w:rStyle w:val="PageNumber"/>
              <w:sz w:val="16"/>
              <w:lang w:val="en-US"/>
            </w:rPr>
          </w:pPr>
        </w:p>
      </w:tc>
      <w:tc>
        <w:tcPr>
          <w:tcW w:w="1518" w:type="dxa"/>
        </w:tcPr>
        <w:p w14:paraId="558B8B7F" w14:textId="77777777" w:rsidR="00AC6AC6" w:rsidRPr="00BA756C" w:rsidRDefault="00AC6AC6">
          <w:pPr>
            <w:pStyle w:val="Header"/>
            <w:rPr>
              <w:rStyle w:val="PageNumber"/>
              <w:sz w:val="16"/>
              <w:lang w:val="nl-NL"/>
            </w:rPr>
          </w:pPr>
          <w:r w:rsidRPr="00BA756C">
            <w:rPr>
              <w:rStyle w:val="PageNumber"/>
              <w:sz w:val="16"/>
              <w:lang w:val="nl-NL"/>
            </w:rPr>
            <w:t>PGR</w:t>
          </w:r>
        </w:p>
        <w:p w14:paraId="65737BCC" w14:textId="77777777" w:rsidR="00AC6AC6" w:rsidRPr="00BA756C" w:rsidRDefault="00D045B9">
          <w:pPr>
            <w:pStyle w:val="Header"/>
            <w:rPr>
              <w:rStyle w:val="PageNumber"/>
              <w:sz w:val="16"/>
              <w:lang w:val="nl-NL"/>
            </w:rPr>
          </w:pPr>
          <w:r>
            <w:rPr>
              <w:rStyle w:val="PageNumber"/>
              <w:sz w:val="16"/>
              <w:lang w:val="nl-NL"/>
            </w:rPr>
            <w:t>PRT-CGN-PG-112</w:t>
          </w:r>
        </w:p>
        <w:p w14:paraId="1A613A32" w14:textId="77777777" w:rsidR="00AC6AC6" w:rsidRPr="00BA756C" w:rsidRDefault="00BA756C">
          <w:pPr>
            <w:pStyle w:val="Header"/>
            <w:rPr>
              <w:rStyle w:val="PageNumber"/>
              <w:sz w:val="16"/>
              <w:lang w:val="nl-NL"/>
            </w:rPr>
          </w:pPr>
          <w:r>
            <w:rPr>
              <w:rStyle w:val="PageNumber"/>
              <w:sz w:val="16"/>
              <w:lang w:val="nl-NL"/>
            </w:rPr>
            <w:t xml:space="preserve">Versie: </w:t>
          </w:r>
          <w:r w:rsidR="008123BD">
            <w:rPr>
              <w:rStyle w:val="PageNumber"/>
              <w:sz w:val="16"/>
              <w:lang w:val="nl-NL"/>
            </w:rPr>
            <w:t>3</w:t>
          </w:r>
        </w:p>
        <w:p w14:paraId="1F025806" w14:textId="77777777" w:rsidR="00AC6AC6" w:rsidRDefault="00AC6AC6">
          <w:pPr>
            <w:pStyle w:val="Header"/>
            <w:rPr>
              <w:rStyle w:val="PageNumber"/>
              <w:sz w:val="16"/>
            </w:rPr>
          </w:pPr>
          <w:r w:rsidRPr="006A67CB">
            <w:rPr>
              <w:rStyle w:val="PageNumber"/>
              <w:sz w:val="16"/>
              <w:lang w:val="nl-NL"/>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sidR="00D56AA0">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D56AA0">
            <w:rPr>
              <w:rStyle w:val="PageNumber"/>
              <w:noProof/>
              <w:sz w:val="16"/>
            </w:rPr>
            <w:t>3</w:t>
          </w:r>
          <w:r>
            <w:rPr>
              <w:rStyle w:val="PageNumber"/>
              <w:sz w:val="16"/>
            </w:rPr>
            <w:fldChar w:fldCharType="end"/>
          </w:r>
        </w:p>
        <w:p w14:paraId="37F79913" w14:textId="77777777" w:rsidR="00AC6AC6" w:rsidRDefault="00AC6AC6">
          <w:pPr>
            <w:pStyle w:val="Header"/>
            <w:rPr>
              <w:rStyle w:val="PageNumber"/>
              <w:sz w:val="16"/>
            </w:rPr>
          </w:pPr>
          <w:proofErr w:type="spellStart"/>
          <w:r>
            <w:rPr>
              <w:rStyle w:val="PageNumber"/>
              <w:sz w:val="16"/>
            </w:rPr>
            <w:t>Afgifte</w:t>
          </w:r>
          <w:proofErr w:type="spellEnd"/>
          <w:r>
            <w:rPr>
              <w:rStyle w:val="PageNumber"/>
              <w:sz w:val="16"/>
            </w:rPr>
            <w:t xml:space="preserve">: </w:t>
          </w:r>
          <w:r w:rsidR="00BA756C">
            <w:rPr>
              <w:rStyle w:val="PageNumber"/>
              <w:sz w:val="16"/>
            </w:rPr>
            <w:t>0</w:t>
          </w:r>
          <w:r w:rsidR="008123BD">
            <w:rPr>
              <w:rStyle w:val="PageNumber"/>
              <w:sz w:val="16"/>
            </w:rPr>
            <w:t>7</w:t>
          </w:r>
          <w:r w:rsidR="00BA756C">
            <w:rPr>
              <w:rStyle w:val="PageNumber"/>
              <w:sz w:val="16"/>
            </w:rPr>
            <w:t>/06/</w:t>
          </w:r>
          <w:r w:rsidR="008123BD">
            <w:rPr>
              <w:rStyle w:val="PageNumber"/>
              <w:sz w:val="16"/>
            </w:rPr>
            <w:t>10</w:t>
          </w:r>
        </w:p>
      </w:tc>
    </w:tr>
  </w:tbl>
  <w:p w14:paraId="2751E4F5" w14:textId="77777777" w:rsidR="00AC6AC6" w:rsidRDefault="00AC6AC6">
    <w:pPr>
      <w:pStyle w:val="Header"/>
    </w:pPr>
  </w:p>
  <w:p w14:paraId="0BC957F5" w14:textId="77777777" w:rsidR="00AC6AC6" w:rsidRDefault="00AC6AC6">
    <w:pPr>
      <w:pStyle w:val="Header"/>
    </w:pPr>
  </w:p>
  <w:p w14:paraId="46401A62" w14:textId="77777777" w:rsidR="00AC6AC6" w:rsidRDefault="00AC6A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B423E3"/>
    <w:multiLevelType w:val="hybridMultilevel"/>
    <w:tmpl w:val="E208FC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 w15:restartNumberingAfterBreak="0">
    <w:nsid w:val="21CB2697"/>
    <w:multiLevelType w:val="hybridMultilevel"/>
    <w:tmpl w:val="384AB66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2"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E413286"/>
    <w:multiLevelType w:val="hybridMultilevel"/>
    <w:tmpl w:val="F8DA6F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885B82"/>
    <w:multiLevelType w:val="hybridMultilevel"/>
    <w:tmpl w:val="858EFB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3"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A037435"/>
    <w:multiLevelType w:val="multilevel"/>
    <w:tmpl w:val="ED6AC3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995796569">
    <w:abstractNumId w:val="9"/>
  </w:num>
  <w:num w:numId="2" w16cid:durableId="1098793666">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515147330">
    <w:abstractNumId w:val="27"/>
  </w:num>
  <w:num w:numId="4" w16cid:durableId="810633924">
    <w:abstractNumId w:val="21"/>
  </w:num>
  <w:num w:numId="5" w16cid:durableId="1294364388">
    <w:abstractNumId w:val="2"/>
  </w:num>
  <w:num w:numId="6" w16cid:durableId="1296374366">
    <w:abstractNumId w:val="14"/>
  </w:num>
  <w:num w:numId="7" w16cid:durableId="1158350514">
    <w:abstractNumId w:val="17"/>
  </w:num>
  <w:num w:numId="8" w16cid:durableId="2004888155">
    <w:abstractNumId w:val="18"/>
  </w:num>
  <w:num w:numId="9" w16cid:durableId="2086370912">
    <w:abstractNumId w:val="5"/>
  </w:num>
  <w:num w:numId="10" w16cid:durableId="1615555236">
    <w:abstractNumId w:val="11"/>
  </w:num>
  <w:num w:numId="11" w16cid:durableId="1395621214">
    <w:abstractNumId w:val="1"/>
  </w:num>
  <w:num w:numId="12" w16cid:durableId="925848239">
    <w:abstractNumId w:val="12"/>
  </w:num>
  <w:num w:numId="13" w16cid:durableId="1031807931">
    <w:abstractNumId w:val="20"/>
  </w:num>
  <w:num w:numId="14" w16cid:durableId="1740666390">
    <w:abstractNumId w:val="26"/>
  </w:num>
  <w:num w:numId="15" w16cid:durableId="707217138">
    <w:abstractNumId w:val="22"/>
  </w:num>
  <w:num w:numId="16" w16cid:durableId="1903523722">
    <w:abstractNumId w:val="16"/>
  </w:num>
  <w:num w:numId="17" w16cid:durableId="289437738">
    <w:abstractNumId w:val="32"/>
  </w:num>
  <w:num w:numId="18" w16cid:durableId="1435903829">
    <w:abstractNumId w:val="31"/>
  </w:num>
  <w:num w:numId="19" w16cid:durableId="2133089066">
    <w:abstractNumId w:val="29"/>
  </w:num>
  <w:num w:numId="20" w16cid:durableId="1232501212">
    <w:abstractNumId w:val="36"/>
  </w:num>
  <w:num w:numId="21" w16cid:durableId="626543249">
    <w:abstractNumId w:val="6"/>
  </w:num>
  <w:num w:numId="22" w16cid:durableId="1643459097">
    <w:abstractNumId w:val="33"/>
  </w:num>
  <w:num w:numId="23" w16cid:durableId="448939359">
    <w:abstractNumId w:val="7"/>
  </w:num>
  <w:num w:numId="24" w16cid:durableId="824273847">
    <w:abstractNumId w:val="3"/>
  </w:num>
  <w:num w:numId="25" w16cid:durableId="957640750">
    <w:abstractNumId w:val="30"/>
  </w:num>
  <w:num w:numId="26" w16cid:durableId="1305813381">
    <w:abstractNumId w:val="19"/>
  </w:num>
  <w:num w:numId="27" w16cid:durableId="1112282796">
    <w:abstractNumId w:val="23"/>
  </w:num>
  <w:num w:numId="28" w16cid:durableId="2142729080">
    <w:abstractNumId w:val="28"/>
  </w:num>
  <w:num w:numId="29" w16cid:durableId="2131900778">
    <w:abstractNumId w:val="8"/>
  </w:num>
  <w:num w:numId="30" w16cid:durableId="1026758472">
    <w:abstractNumId w:val="35"/>
  </w:num>
  <w:num w:numId="31" w16cid:durableId="1942374429">
    <w:abstractNumId w:val="34"/>
  </w:num>
  <w:num w:numId="32" w16cid:durableId="93981961">
    <w:abstractNumId w:val="25"/>
  </w:num>
  <w:num w:numId="33" w16cid:durableId="2103725084">
    <w:abstractNumId w:val="24"/>
  </w:num>
  <w:num w:numId="34" w16cid:durableId="1856966819">
    <w:abstractNumId w:val="13"/>
  </w:num>
  <w:num w:numId="35" w16cid:durableId="2036803356">
    <w:abstractNumId w:val="10"/>
  </w:num>
  <w:num w:numId="36" w16cid:durableId="185560548">
    <w:abstractNumId w:val="4"/>
  </w:num>
  <w:num w:numId="37" w16cid:durableId="1019355085">
    <w:abstractNumId w:val="15"/>
  </w:num>
  <w:num w:numId="38" w16cid:durableId="2626941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756C"/>
    <w:rsid w:val="00017442"/>
    <w:rsid w:val="00067594"/>
    <w:rsid w:val="00096123"/>
    <w:rsid w:val="000B6908"/>
    <w:rsid w:val="00103F57"/>
    <w:rsid w:val="001965B7"/>
    <w:rsid w:val="0029151B"/>
    <w:rsid w:val="00337B40"/>
    <w:rsid w:val="003F2DE8"/>
    <w:rsid w:val="0044742C"/>
    <w:rsid w:val="004800DA"/>
    <w:rsid w:val="00543F4F"/>
    <w:rsid w:val="006A67CB"/>
    <w:rsid w:val="006B645A"/>
    <w:rsid w:val="00773605"/>
    <w:rsid w:val="00785014"/>
    <w:rsid w:val="007D1449"/>
    <w:rsid w:val="007F3F40"/>
    <w:rsid w:val="008123BD"/>
    <w:rsid w:val="008C12FF"/>
    <w:rsid w:val="00941963"/>
    <w:rsid w:val="009F6224"/>
    <w:rsid w:val="00A33800"/>
    <w:rsid w:val="00A57816"/>
    <w:rsid w:val="00AC6AC6"/>
    <w:rsid w:val="00B623A4"/>
    <w:rsid w:val="00BA383E"/>
    <w:rsid w:val="00BA756C"/>
    <w:rsid w:val="00D045B9"/>
    <w:rsid w:val="00D33316"/>
    <w:rsid w:val="00D56AA0"/>
    <w:rsid w:val="00ED088D"/>
    <w:rsid w:val="00EE46CD"/>
    <w:rsid w:val="00F60FC6"/>
    <w:rsid w:val="00F70C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525663"/>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semiHidden/>
    <w:rsid w:val="004800DA"/>
    <w:rPr>
      <w:rFonts w:ascii="Tahoma" w:hAnsi="Tahoma" w:cs="Tahoma"/>
      <w:sz w:val="16"/>
      <w:szCs w:val="16"/>
    </w:rPr>
  </w:style>
  <w:style w:type="paragraph" w:styleId="NormalWeb">
    <w:name w:val="Normal (Web)"/>
    <w:basedOn w:val="Normal"/>
    <w:uiPriority w:val="99"/>
    <w:unhideWhenUsed/>
    <w:rsid w:val="003F2DE8"/>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3F2D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320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474FDA-7BE2-4CD5-9968-8CF95B804AB5}"/>
</file>

<file path=customXml/itemProps2.xml><?xml version="1.0" encoding="utf-8"?>
<ds:datastoreItem xmlns:ds="http://schemas.openxmlformats.org/officeDocument/2006/customXml" ds:itemID="{7DB21571-D76B-4D67-86A9-D991CC0A5929}"/>
</file>

<file path=docProps/app.xml><?xml version="1.0" encoding="utf-8"?>
<Properties xmlns="http://schemas.openxmlformats.org/officeDocument/2006/extended-properties" xmlns:vt="http://schemas.openxmlformats.org/officeDocument/2006/docPropsVTypes">
  <Template>Normal.dotm</Template>
  <TotalTime>66</TotalTime>
  <Pages>2</Pages>
  <Words>537</Words>
  <Characters>3065</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PRT-112</vt:lpstr>
      <vt:lpstr>PRT-112</vt:lpstr>
    </vt:vector>
  </TitlesOfParts>
  <Company>CPRO-DLO</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PRT-112</dc:title>
  <dc:creator>&lt;your username here&gt;</dc:creator>
  <cp:lastModifiedBy>Hintum, Theo van</cp:lastModifiedBy>
  <cp:revision>16</cp:revision>
  <cp:lastPrinted>2010-06-28T14:41:00Z</cp:lastPrinted>
  <dcterms:created xsi:type="dcterms:W3CDTF">2014-12-23T11:54:00Z</dcterms:created>
  <dcterms:modified xsi:type="dcterms:W3CDTF">2024-04-30T14:04:00Z</dcterms:modified>
</cp:coreProperties>
</file>