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A24" w:rsidRPr="00BF1A00" w:rsidRDefault="002E5A24" w:rsidP="00400F73">
      <w:pPr>
        <w:pStyle w:val="Heading5"/>
        <w:ind w:left="1985" w:hanging="1985"/>
        <w:rPr>
          <w:rFonts w:ascii="Verdana" w:hAnsi="Verdana"/>
          <w:b/>
          <w:sz w:val="20"/>
          <w:lang w:val="en-GB"/>
        </w:rPr>
      </w:pPr>
      <w:r w:rsidRPr="00BF1A00">
        <w:rPr>
          <w:rFonts w:ascii="Verdana" w:hAnsi="Verdana"/>
          <w:b/>
          <w:sz w:val="20"/>
          <w:lang w:val="en-GB"/>
        </w:rPr>
        <w:t xml:space="preserve">PRT-CGN-PG </w:t>
      </w:r>
      <w:r w:rsidR="00400F73" w:rsidRPr="00BF1A00">
        <w:rPr>
          <w:rFonts w:ascii="Verdana" w:hAnsi="Verdana"/>
          <w:b/>
          <w:sz w:val="20"/>
          <w:lang w:val="en-GB"/>
        </w:rPr>
        <w:t>111</w:t>
      </w:r>
      <w:r w:rsidR="00190416" w:rsidRPr="00BF1A00">
        <w:rPr>
          <w:rFonts w:ascii="Verdana" w:hAnsi="Verdana"/>
          <w:b/>
          <w:sz w:val="20"/>
          <w:lang w:val="en-GB"/>
        </w:rPr>
        <w:t>B</w:t>
      </w:r>
      <w:r w:rsidR="00400F73" w:rsidRPr="00BF1A00">
        <w:rPr>
          <w:rFonts w:ascii="Verdana" w:hAnsi="Verdana"/>
          <w:b/>
          <w:sz w:val="20"/>
          <w:lang w:val="en-GB"/>
        </w:rPr>
        <w:t xml:space="preserve"> </w:t>
      </w:r>
      <w:r w:rsidR="00190416" w:rsidRPr="00BF1A00">
        <w:rPr>
          <w:rFonts w:ascii="Verdana" w:hAnsi="Verdana"/>
          <w:b/>
          <w:sz w:val="20"/>
          <w:lang w:val="en-GB"/>
        </w:rPr>
        <w:t>PROTOCOL FOR THE MULTIPLICATION OF CEREALS</w:t>
      </w:r>
      <w:r w:rsidRPr="00BF1A00">
        <w:rPr>
          <w:rFonts w:ascii="Verdana" w:hAnsi="Verdana"/>
          <w:b/>
          <w:sz w:val="20"/>
          <w:lang w:val="en-GB"/>
        </w:rPr>
        <w:t xml:space="preserve"> </w:t>
      </w:r>
    </w:p>
    <w:p w:rsidR="002E5A24" w:rsidRPr="00BF1A00" w:rsidRDefault="002E5A24" w:rsidP="002E5A24">
      <w:pPr>
        <w:rPr>
          <w:rFonts w:ascii="Verdana" w:hAnsi="Verdana"/>
        </w:rPr>
      </w:pPr>
    </w:p>
    <w:p w:rsidR="002E5A24" w:rsidRPr="00BF1A00" w:rsidRDefault="002E5A24" w:rsidP="002E5A24">
      <w:pPr>
        <w:rPr>
          <w:rFonts w:ascii="Verdana" w:hAnsi="Verdana"/>
        </w:rPr>
      </w:pPr>
    </w:p>
    <w:p w:rsidR="00032030" w:rsidRPr="00BF1A00" w:rsidRDefault="00032030" w:rsidP="00032030">
      <w:pPr>
        <w:rPr>
          <w:rFonts w:ascii="Verdana" w:hAnsi="Verdana"/>
        </w:rPr>
      </w:pPr>
      <w:r w:rsidRPr="00BF1A00">
        <w:rPr>
          <w:rFonts w:ascii="Verdana" w:hAnsi="Verdana"/>
        </w:rPr>
        <w:t xml:space="preserve">This protocol applies to all parties involved in the multiplication of CGN material. </w:t>
      </w:r>
    </w:p>
    <w:p w:rsidR="00032030" w:rsidRPr="00BF1A00" w:rsidRDefault="00032030" w:rsidP="00032030">
      <w:pPr>
        <w:pStyle w:val="Heading3"/>
        <w:rPr>
          <w:rFonts w:ascii="Verdana" w:hAnsi="Verdana"/>
          <w:sz w:val="20"/>
        </w:rPr>
      </w:pPr>
      <w:r w:rsidRPr="00BF1A00">
        <w:rPr>
          <w:rFonts w:ascii="Verdana" w:hAnsi="Verdana"/>
          <w:sz w:val="20"/>
        </w:rPr>
        <w:t>Introduction</w:t>
      </w:r>
    </w:p>
    <w:p w:rsidR="00032030" w:rsidRPr="00BF1A00" w:rsidRDefault="00032030" w:rsidP="00032030">
      <w:pPr>
        <w:rPr>
          <w:rFonts w:ascii="Verdana" w:hAnsi="Verdana"/>
        </w:rPr>
      </w:pPr>
      <w:r w:rsidRPr="00BF1A00">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rsidR="00032030" w:rsidRPr="00BF1A00" w:rsidRDefault="00032030" w:rsidP="00032030">
      <w:pPr>
        <w:pStyle w:val="NormalWeb"/>
        <w:rPr>
          <w:rFonts w:ascii="Verdana" w:hAnsi="Verdana"/>
          <w:color w:val="auto"/>
          <w:sz w:val="20"/>
          <w:szCs w:val="20"/>
        </w:rPr>
      </w:pPr>
      <w:r w:rsidRPr="00BF1A00">
        <w:rPr>
          <w:rFonts w:ascii="Verdana" w:hAnsi="Verdana"/>
          <w:i/>
          <w:iCs/>
          <w:color w:val="auto"/>
          <w:sz w:val="20"/>
          <w:szCs w:val="20"/>
        </w:rPr>
        <w:t xml:space="preserve">Any deviation from this protocol should be reported to CGN, after which  it will be recorded by CGN in the Multiplication logbook (FOR-CGN-PG-002). </w:t>
      </w:r>
    </w:p>
    <w:p w:rsidR="00032030" w:rsidRPr="00BF1A00" w:rsidRDefault="00032030" w:rsidP="00032030">
      <w:pPr>
        <w:spacing w:before="100" w:beforeAutospacing="1" w:after="100" w:afterAutospacing="1"/>
        <w:outlineLvl w:val="2"/>
        <w:rPr>
          <w:rFonts w:ascii="Verdana" w:hAnsi="Verdana"/>
          <w:b/>
          <w:bCs/>
          <w:lang w:eastAsia="en-GB"/>
        </w:rPr>
      </w:pPr>
      <w:r w:rsidRPr="00BF1A00">
        <w:rPr>
          <w:rFonts w:ascii="Verdana" w:hAnsi="Verdana"/>
          <w:b/>
          <w:bCs/>
          <w:lang w:eastAsia="en-GB"/>
        </w:rPr>
        <w:t>Multiplication</w:t>
      </w:r>
    </w:p>
    <w:p w:rsidR="00032030" w:rsidRPr="00BF1A00" w:rsidRDefault="00032030" w:rsidP="00032030">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genetic integrity</w:t>
      </w:r>
    </w:p>
    <w:p w:rsidR="00032030" w:rsidRPr="00BF1A00" w:rsidRDefault="00032030" w:rsidP="003A7431">
      <w:pPr>
        <w:numPr>
          <w:ilvl w:val="0"/>
          <w:numId w:val="26"/>
        </w:numPr>
        <w:spacing w:before="100" w:beforeAutospacing="1" w:after="100" w:afterAutospacing="1"/>
        <w:rPr>
          <w:rFonts w:ascii="Verdana" w:hAnsi="Verdana"/>
          <w:lang w:eastAsia="en-GB"/>
        </w:rPr>
      </w:pPr>
      <w:r w:rsidRPr="00BF1A00">
        <w:rPr>
          <w:rFonts w:ascii="Verdana" w:hAnsi="Verdana"/>
          <w:bCs/>
          <w:lang w:eastAsia="en-GB"/>
        </w:rPr>
        <w:t>Isolation</w:t>
      </w:r>
      <w:r w:rsidRPr="00BF1A00">
        <w:rPr>
          <w:rFonts w:ascii="Verdana" w:hAnsi="Verdana"/>
          <w:lang w:eastAsia="en-GB"/>
        </w:rPr>
        <w:t xml:space="preserve">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Not required, as cultivated wheat, barley and oat are self-pollinating.</w:t>
      </w:r>
    </w:p>
    <w:p w:rsidR="00032030" w:rsidRPr="00BF1A00" w:rsidRDefault="00032030" w:rsidP="00032030">
      <w:pPr>
        <w:numPr>
          <w:ilvl w:val="0"/>
          <w:numId w:val="22"/>
        </w:numPr>
        <w:spacing w:before="100" w:beforeAutospacing="1" w:after="100" w:afterAutospacing="1"/>
        <w:rPr>
          <w:rFonts w:ascii="Verdana" w:hAnsi="Verdana"/>
          <w:lang w:eastAsia="en-GB"/>
        </w:rPr>
      </w:pPr>
      <w:r w:rsidRPr="00BF1A00">
        <w:rPr>
          <w:rFonts w:ascii="Verdana" w:hAnsi="Verdana"/>
          <w:bCs/>
          <w:lang w:eastAsia="en-GB"/>
        </w:rPr>
        <w:t>Population size</w:t>
      </w:r>
      <w:r w:rsidRPr="00BF1A00">
        <w:rPr>
          <w:rFonts w:ascii="Verdana" w:hAnsi="Verdana"/>
          <w:lang w:eastAsia="en-GB"/>
        </w:rPr>
        <w:t xml:space="preserve">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 xml:space="preserve">Multiplication is performed with at least 20 plants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When  less than 20 plants are used, this should be reported as deviation.</w:t>
      </w:r>
    </w:p>
    <w:p w:rsidR="00032030" w:rsidRPr="00BF1A00" w:rsidRDefault="00032030" w:rsidP="00032030">
      <w:pPr>
        <w:numPr>
          <w:ilvl w:val="0"/>
          <w:numId w:val="22"/>
        </w:numPr>
        <w:spacing w:before="100" w:beforeAutospacing="1" w:after="100" w:afterAutospacing="1"/>
        <w:rPr>
          <w:rFonts w:ascii="Verdana" w:hAnsi="Verdana"/>
          <w:lang w:eastAsia="en-GB"/>
        </w:rPr>
      </w:pPr>
      <w:r w:rsidRPr="00BF1A00">
        <w:rPr>
          <w:rFonts w:ascii="Verdana" w:hAnsi="Verdana"/>
          <w:bCs/>
          <w:lang w:eastAsia="en-GB"/>
        </w:rPr>
        <w:t>Sowing</w:t>
      </w:r>
      <w:r w:rsidRPr="00BF1A00">
        <w:rPr>
          <w:rFonts w:ascii="Verdana" w:hAnsi="Verdana"/>
          <w:lang w:eastAsia="en-GB"/>
        </w:rPr>
        <w:t xml:space="preserve">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The time of sowing depends on the crop type, either winter or spring. This is information is sent by CGN with the material or in an email.</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 xml:space="preserve">In case of poor or very slow germination, this should be reported as deviation.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After sowing, measures to deter birds should be used to prevent seed loss</w:t>
      </w:r>
    </w:p>
    <w:p w:rsidR="00032030" w:rsidRPr="00BF1A00" w:rsidRDefault="00032030" w:rsidP="00032030">
      <w:pPr>
        <w:pStyle w:val="ListParagraph"/>
        <w:numPr>
          <w:ilvl w:val="0"/>
          <w:numId w:val="22"/>
        </w:numPr>
        <w:spacing w:before="100" w:beforeAutospacing="1" w:after="100" w:afterAutospacing="1" w:line="240" w:lineRule="auto"/>
        <w:rPr>
          <w:rFonts w:eastAsia="Times New Roman"/>
          <w:bCs/>
          <w:sz w:val="20"/>
          <w:szCs w:val="20"/>
          <w:lang w:eastAsia="en-GB"/>
        </w:rPr>
      </w:pPr>
      <w:r w:rsidRPr="00BF1A00">
        <w:rPr>
          <w:rFonts w:eastAsia="Times New Roman"/>
          <w:bCs/>
          <w:sz w:val="20"/>
          <w:szCs w:val="20"/>
          <w:lang w:eastAsia="en-GB"/>
        </w:rPr>
        <w:t>Vernalisation</w:t>
      </w:r>
    </w:p>
    <w:p w:rsidR="00032030" w:rsidRPr="00BF1A00" w:rsidRDefault="00032030" w:rsidP="00032030">
      <w:pPr>
        <w:pStyle w:val="ListParagraph"/>
        <w:numPr>
          <w:ilvl w:val="1"/>
          <w:numId w:val="22"/>
        </w:numPr>
        <w:spacing w:before="100" w:beforeAutospacing="1" w:after="100" w:afterAutospacing="1" w:line="240" w:lineRule="auto"/>
        <w:rPr>
          <w:rFonts w:eastAsia="Times New Roman"/>
          <w:sz w:val="20"/>
          <w:szCs w:val="20"/>
          <w:lang w:eastAsia="en-GB"/>
        </w:rPr>
      </w:pPr>
      <w:r w:rsidRPr="00BF1A00">
        <w:rPr>
          <w:rFonts w:eastAsia="Times New Roman"/>
          <w:sz w:val="20"/>
          <w:szCs w:val="20"/>
          <w:lang w:eastAsia="en-GB"/>
        </w:rPr>
        <w:t>Accessions of winter types, which is indicated by CGN, need to be sown in autumn</w:t>
      </w:r>
    </w:p>
    <w:p w:rsidR="00032030" w:rsidRPr="00BF1A00" w:rsidRDefault="00032030" w:rsidP="00032030">
      <w:pPr>
        <w:numPr>
          <w:ilvl w:val="0"/>
          <w:numId w:val="22"/>
        </w:numPr>
        <w:spacing w:before="100" w:beforeAutospacing="1" w:after="100" w:afterAutospacing="1"/>
        <w:rPr>
          <w:rFonts w:ascii="Verdana" w:hAnsi="Verdana"/>
          <w:lang w:eastAsia="en-GB"/>
        </w:rPr>
      </w:pPr>
      <w:r w:rsidRPr="00BF1A00">
        <w:rPr>
          <w:rFonts w:ascii="Verdana" w:hAnsi="Verdana"/>
          <w:bCs/>
          <w:lang w:eastAsia="en-GB"/>
        </w:rPr>
        <w:t>Cultivation</w:t>
      </w:r>
      <w:r w:rsidRPr="00BF1A00">
        <w:rPr>
          <w:rFonts w:ascii="Verdana" w:hAnsi="Verdana"/>
          <w:lang w:eastAsia="en-GB"/>
        </w:rPr>
        <w:t xml:space="preserve">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Selection should be avoided. In case an unexpected high level of  heterogeneity or a mixture of species or types is observed, this should be reported to CGN. CGN will then decide if or how selection can take place. The alternative procedure will be recorded in the Multiplication Logbook.</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Before seeds start to ripen, measures to deter birds should be used to prevent seed loss .</w:t>
      </w:r>
    </w:p>
    <w:p w:rsidR="00032030" w:rsidRPr="00BF1A00" w:rsidRDefault="00032030" w:rsidP="00032030">
      <w:pPr>
        <w:pStyle w:val="ListParagraph"/>
        <w:numPr>
          <w:ilvl w:val="0"/>
          <w:numId w:val="22"/>
        </w:numPr>
        <w:spacing w:beforeAutospacing="1" w:after="0" w:afterAutospacing="1" w:line="240" w:lineRule="auto"/>
        <w:rPr>
          <w:rFonts w:eastAsia="Times New Roman"/>
          <w:sz w:val="20"/>
          <w:szCs w:val="20"/>
          <w:lang w:eastAsia="en-GB"/>
        </w:rPr>
      </w:pPr>
      <w:r w:rsidRPr="00BF1A00">
        <w:rPr>
          <w:rFonts w:eastAsia="Times New Roman"/>
          <w:bCs/>
          <w:sz w:val="20"/>
          <w:szCs w:val="20"/>
          <w:lang w:eastAsia="en-GB"/>
        </w:rPr>
        <w:t xml:space="preserve">Pollination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 xml:space="preserve">Not applicable. </w:t>
      </w:r>
    </w:p>
    <w:p w:rsidR="00032030" w:rsidRPr="00BF1A00" w:rsidRDefault="00032030" w:rsidP="00032030">
      <w:pPr>
        <w:numPr>
          <w:ilvl w:val="0"/>
          <w:numId w:val="22"/>
        </w:numPr>
        <w:spacing w:before="100" w:beforeAutospacing="1" w:after="100" w:afterAutospacing="1"/>
        <w:rPr>
          <w:rFonts w:ascii="Verdana" w:hAnsi="Verdana"/>
          <w:lang w:eastAsia="en-GB"/>
        </w:rPr>
      </w:pPr>
      <w:r w:rsidRPr="00BF1A00">
        <w:rPr>
          <w:rFonts w:ascii="Verdana" w:hAnsi="Verdana"/>
          <w:bCs/>
          <w:lang w:eastAsia="en-GB"/>
        </w:rPr>
        <w:lastRenderedPageBreak/>
        <w:t>Harvest</w:t>
      </w:r>
      <w:r w:rsidRPr="00BF1A00">
        <w:rPr>
          <w:rFonts w:ascii="Verdana" w:hAnsi="Verdana"/>
          <w:lang w:eastAsia="en-GB"/>
        </w:rPr>
        <w:t xml:space="preserve"> </w:t>
      </w:r>
    </w:p>
    <w:p w:rsidR="00032030" w:rsidRPr="00BF1A00" w:rsidRDefault="00032030" w:rsidP="00032030">
      <w:pPr>
        <w:numPr>
          <w:ilvl w:val="1"/>
          <w:numId w:val="22"/>
        </w:numPr>
        <w:spacing w:before="100" w:beforeAutospacing="1" w:after="100" w:afterAutospacing="1"/>
        <w:rPr>
          <w:rFonts w:ascii="Verdana" w:hAnsi="Verdana"/>
          <w:lang w:eastAsia="en-GB"/>
        </w:rPr>
      </w:pPr>
      <w:r w:rsidRPr="00BF1A00">
        <w:rPr>
          <w:rFonts w:ascii="Verdana" w:hAnsi="Verdana"/>
          <w:lang w:eastAsia="en-GB"/>
        </w:rPr>
        <w:t>All ears should be harvested. If an accession is heterogeneous for harvest time, plants should be harvested on different dates, the harvested seeds may be bulked into a single sample. All produced seed should be send to CGN.</w:t>
      </w:r>
    </w:p>
    <w:p w:rsidR="00032030" w:rsidRPr="00BF1A00" w:rsidRDefault="00032030" w:rsidP="00032030">
      <w:pPr>
        <w:spacing w:before="100" w:beforeAutospacing="1" w:after="100" w:afterAutospacing="1"/>
        <w:outlineLvl w:val="3"/>
        <w:rPr>
          <w:rFonts w:ascii="Verdana" w:hAnsi="Verdana"/>
          <w:bCs/>
          <w:u w:val="single"/>
          <w:lang w:eastAsia="en-GB"/>
        </w:rPr>
      </w:pPr>
      <w:r w:rsidRPr="00BF1A00">
        <w:rPr>
          <w:rFonts w:ascii="Verdana" w:hAnsi="Verdana"/>
          <w:bCs/>
          <w:u w:val="single"/>
          <w:lang w:eastAsia="en-GB"/>
        </w:rPr>
        <w:t>Maintaining identity</w:t>
      </w:r>
    </w:p>
    <w:p w:rsidR="00032030" w:rsidRPr="00BF1A00" w:rsidRDefault="00032030" w:rsidP="00032030">
      <w:pPr>
        <w:numPr>
          <w:ilvl w:val="0"/>
          <w:numId w:val="23"/>
        </w:numPr>
        <w:spacing w:before="100" w:beforeAutospacing="1" w:after="100" w:afterAutospacing="1"/>
        <w:rPr>
          <w:rFonts w:ascii="Verdana" w:hAnsi="Verdana"/>
          <w:lang w:eastAsia="en-GB"/>
        </w:rPr>
      </w:pPr>
      <w:r w:rsidRPr="00BF1A00">
        <w:rPr>
          <w:rFonts w:ascii="Verdana" w:hAnsi="Verdana"/>
          <w:bCs/>
          <w:lang w:eastAsia="en-GB"/>
        </w:rPr>
        <w:t>Registration</w:t>
      </w:r>
    </w:p>
    <w:p w:rsidR="00032030" w:rsidRPr="00BF1A00" w:rsidRDefault="00032030" w:rsidP="00032030">
      <w:pPr>
        <w:numPr>
          <w:ilvl w:val="1"/>
          <w:numId w:val="23"/>
        </w:numPr>
        <w:spacing w:before="100" w:beforeAutospacing="1" w:after="100" w:afterAutospacing="1"/>
        <w:rPr>
          <w:rFonts w:ascii="Verdana" w:hAnsi="Verdana"/>
          <w:lang w:eastAsia="en-GB"/>
        </w:rPr>
      </w:pPr>
      <w:r w:rsidRPr="00BF1A00">
        <w:rPr>
          <w:rFonts w:ascii="Verdana" w:hAnsi="Verdana"/>
          <w:lang w:eastAsia="en-GB"/>
        </w:rPr>
        <w:t xml:space="preserve">During sowing, cultivation and harvesting, accessions should be clearly marked with a label indicating  the field number. All field numbers assigned  prior to seed sowing should remain unchanged up to and including harvesting. </w:t>
      </w:r>
    </w:p>
    <w:p w:rsidR="00032030" w:rsidRPr="00BF1A00" w:rsidRDefault="00032030" w:rsidP="00032030">
      <w:pPr>
        <w:numPr>
          <w:ilvl w:val="0"/>
          <w:numId w:val="23"/>
        </w:numPr>
        <w:spacing w:before="100" w:beforeAutospacing="1" w:after="100" w:afterAutospacing="1"/>
        <w:rPr>
          <w:rFonts w:ascii="Verdana" w:hAnsi="Verdana"/>
          <w:bCs/>
          <w:lang w:eastAsia="en-GB"/>
        </w:rPr>
      </w:pPr>
      <w:r w:rsidRPr="00BF1A00">
        <w:rPr>
          <w:rFonts w:ascii="Verdana" w:hAnsi="Verdana"/>
          <w:bCs/>
          <w:lang w:eastAsia="en-GB"/>
        </w:rPr>
        <w:t>Harvesting</w:t>
      </w:r>
    </w:p>
    <w:p w:rsidR="00032030" w:rsidRPr="00BF1A00" w:rsidRDefault="00032030" w:rsidP="00032030">
      <w:pPr>
        <w:numPr>
          <w:ilvl w:val="1"/>
          <w:numId w:val="23"/>
        </w:numPr>
        <w:spacing w:before="100" w:beforeAutospacing="1" w:after="100" w:afterAutospacing="1"/>
        <w:rPr>
          <w:rFonts w:ascii="Verdana" w:hAnsi="Verdana"/>
          <w:lang w:eastAsia="en-GB"/>
        </w:rPr>
      </w:pPr>
      <w:r w:rsidRPr="00BF1A00">
        <w:rPr>
          <w:rFonts w:ascii="Verdana" w:hAnsi="Verdana"/>
          <w:lang w:eastAsia="en-GB"/>
        </w:rPr>
        <w:t>Plots should be harvested carefully in order to avoid contamination  with seeds of neighbouring plots.</w:t>
      </w:r>
    </w:p>
    <w:p w:rsidR="00032030" w:rsidRPr="00BF1A00" w:rsidRDefault="00032030" w:rsidP="00032030">
      <w:pPr>
        <w:spacing w:before="100" w:beforeAutospacing="1" w:after="100" w:afterAutospacing="1"/>
        <w:outlineLvl w:val="3"/>
        <w:rPr>
          <w:rFonts w:ascii="Verdana" w:hAnsi="Verdana"/>
          <w:b/>
          <w:bCs/>
          <w:lang w:eastAsia="en-GB"/>
        </w:rPr>
      </w:pPr>
      <w:r w:rsidRPr="00BF1A00">
        <w:rPr>
          <w:rFonts w:ascii="Verdana" w:hAnsi="Verdana"/>
          <w:b/>
          <w:bCs/>
          <w:lang w:eastAsia="en-GB"/>
        </w:rPr>
        <w:t>Maintaining seed quality</w:t>
      </w:r>
    </w:p>
    <w:p w:rsidR="00032030" w:rsidRPr="00BF1A00" w:rsidRDefault="00032030" w:rsidP="00032030">
      <w:pPr>
        <w:numPr>
          <w:ilvl w:val="0"/>
          <w:numId w:val="24"/>
        </w:numPr>
        <w:spacing w:before="100" w:beforeAutospacing="1" w:after="100" w:afterAutospacing="1"/>
        <w:rPr>
          <w:rFonts w:ascii="Verdana" w:hAnsi="Verdana"/>
          <w:lang w:eastAsia="en-GB"/>
        </w:rPr>
      </w:pPr>
      <w:r w:rsidRPr="00BF1A00">
        <w:rPr>
          <w:rFonts w:ascii="Verdana" w:hAnsi="Verdana"/>
          <w:bCs/>
          <w:lang w:eastAsia="en-GB"/>
        </w:rPr>
        <w:t>Seed decontamination before sowing</w:t>
      </w:r>
      <w:r w:rsidRPr="00BF1A00">
        <w:rPr>
          <w:rFonts w:ascii="Verdana" w:hAnsi="Verdana"/>
          <w:lang w:eastAsia="en-GB"/>
        </w:rPr>
        <w:t xml:space="preserve"> </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Prior to sowing, the seed should be decontaminated with permitted seed decontaminants. </w:t>
      </w:r>
    </w:p>
    <w:p w:rsidR="00032030" w:rsidRPr="00BF1A00" w:rsidRDefault="00032030" w:rsidP="00032030">
      <w:pPr>
        <w:numPr>
          <w:ilvl w:val="0"/>
          <w:numId w:val="24"/>
        </w:numPr>
        <w:spacing w:before="100" w:beforeAutospacing="1" w:after="100" w:afterAutospacing="1"/>
        <w:rPr>
          <w:rFonts w:ascii="Verdana" w:hAnsi="Verdana"/>
          <w:lang w:eastAsia="en-GB"/>
        </w:rPr>
      </w:pPr>
      <w:r w:rsidRPr="00BF1A00">
        <w:rPr>
          <w:rFonts w:ascii="Verdana" w:hAnsi="Verdana"/>
          <w:bCs/>
          <w:lang w:eastAsia="en-GB"/>
        </w:rPr>
        <w:t>Pruning</w:t>
      </w:r>
      <w:r w:rsidRPr="00BF1A00">
        <w:rPr>
          <w:rFonts w:ascii="Verdana" w:hAnsi="Verdana"/>
          <w:lang w:eastAsia="en-GB"/>
        </w:rPr>
        <w:t xml:space="preserve"> </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Not applicable.</w:t>
      </w:r>
    </w:p>
    <w:p w:rsidR="00032030" w:rsidRPr="00BF1A00" w:rsidRDefault="00032030" w:rsidP="00032030">
      <w:pPr>
        <w:numPr>
          <w:ilvl w:val="0"/>
          <w:numId w:val="24"/>
        </w:numPr>
        <w:spacing w:before="100" w:beforeAutospacing="1" w:after="100" w:afterAutospacing="1"/>
        <w:rPr>
          <w:rFonts w:ascii="Verdana" w:hAnsi="Verdana"/>
          <w:bCs/>
          <w:lang w:eastAsia="en-GB"/>
        </w:rPr>
      </w:pPr>
      <w:r w:rsidRPr="00BF1A00">
        <w:rPr>
          <w:rFonts w:ascii="Verdana" w:hAnsi="Verdana"/>
          <w:bCs/>
          <w:lang w:eastAsia="en-GB"/>
        </w:rPr>
        <w:t>Cultivation</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To diminish the chance of  lodging the application of fertilizers should be not optimal. </w:t>
      </w:r>
    </w:p>
    <w:p w:rsidR="00032030" w:rsidRPr="00BF1A00" w:rsidRDefault="00032030" w:rsidP="00032030">
      <w:pPr>
        <w:numPr>
          <w:ilvl w:val="0"/>
          <w:numId w:val="24"/>
        </w:numPr>
        <w:spacing w:before="100" w:beforeAutospacing="1" w:after="100" w:afterAutospacing="1"/>
        <w:rPr>
          <w:rFonts w:ascii="Verdana" w:hAnsi="Verdana"/>
          <w:lang w:eastAsia="en-GB"/>
        </w:rPr>
      </w:pPr>
      <w:r w:rsidRPr="00BF1A00">
        <w:rPr>
          <w:rFonts w:ascii="Verdana" w:hAnsi="Verdana"/>
          <w:bCs/>
          <w:lang w:eastAsia="en-GB"/>
        </w:rPr>
        <w:t>Inspection</w:t>
      </w:r>
      <w:r w:rsidRPr="00BF1A00">
        <w:rPr>
          <w:rFonts w:ascii="Verdana" w:hAnsi="Verdana"/>
          <w:lang w:eastAsia="en-GB"/>
        </w:rPr>
        <w:t xml:space="preserve"> </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In case of severe mildew infection endangering the regeneration, the crop  should be treated. </w:t>
      </w:r>
    </w:p>
    <w:p w:rsidR="00032030" w:rsidRPr="00BF1A00" w:rsidRDefault="00032030" w:rsidP="00032030">
      <w:pPr>
        <w:numPr>
          <w:ilvl w:val="0"/>
          <w:numId w:val="24"/>
        </w:numPr>
        <w:spacing w:before="100" w:beforeAutospacing="1" w:after="100" w:afterAutospacing="1"/>
        <w:rPr>
          <w:rFonts w:ascii="Verdana" w:hAnsi="Verdana"/>
          <w:lang w:eastAsia="en-GB"/>
        </w:rPr>
      </w:pPr>
      <w:r w:rsidRPr="00BF1A00">
        <w:rPr>
          <w:rFonts w:ascii="Verdana" w:hAnsi="Verdana"/>
          <w:bCs/>
          <w:lang w:eastAsia="en-GB"/>
        </w:rPr>
        <w:t>Seed treatment after harvest</w:t>
      </w:r>
      <w:r w:rsidRPr="00BF1A00">
        <w:rPr>
          <w:rFonts w:ascii="Verdana" w:hAnsi="Verdana"/>
          <w:lang w:eastAsia="en-GB"/>
        </w:rPr>
        <w:t xml:space="preserve"> </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The bags with harvested plant parts should be pre-dried. </w:t>
      </w:r>
    </w:p>
    <w:p w:rsidR="00032030" w:rsidRPr="00BF1A00" w:rsidRDefault="00032030" w:rsidP="00032030">
      <w:pPr>
        <w:numPr>
          <w:ilvl w:val="1"/>
          <w:numId w:val="24"/>
        </w:numPr>
        <w:spacing w:before="100" w:beforeAutospacing="1" w:after="100" w:afterAutospacing="1"/>
        <w:rPr>
          <w:rFonts w:ascii="Verdana" w:hAnsi="Verdana"/>
          <w:lang w:eastAsia="en-GB"/>
        </w:rPr>
      </w:pPr>
      <w:r w:rsidRPr="00BF1A00">
        <w:rPr>
          <w:rFonts w:ascii="Verdana" w:hAnsi="Verdana"/>
          <w:lang w:eastAsia="en-GB"/>
        </w:rPr>
        <w:t xml:space="preserve">Seed cleaning procedures after harvest should be discussed with CGN. </w:t>
      </w:r>
    </w:p>
    <w:p w:rsidR="00032030" w:rsidRPr="00BF1A00" w:rsidRDefault="00032030" w:rsidP="00032030">
      <w:pPr>
        <w:spacing w:before="100" w:beforeAutospacing="1" w:after="100" w:afterAutospacing="1"/>
        <w:outlineLvl w:val="2"/>
        <w:rPr>
          <w:rFonts w:ascii="Verdana" w:hAnsi="Verdana"/>
          <w:b/>
          <w:bCs/>
          <w:lang w:eastAsia="en-GB"/>
        </w:rPr>
      </w:pPr>
      <w:r w:rsidRPr="00BF1A00">
        <w:rPr>
          <w:rFonts w:ascii="Verdana" w:hAnsi="Verdana"/>
          <w:b/>
          <w:bCs/>
          <w:lang w:eastAsia="en-GB"/>
        </w:rPr>
        <w:t>Concluding actions</w:t>
      </w:r>
    </w:p>
    <w:p w:rsidR="00032030" w:rsidRPr="00BF1A00" w:rsidRDefault="00032030" w:rsidP="00032030">
      <w:pPr>
        <w:numPr>
          <w:ilvl w:val="0"/>
          <w:numId w:val="25"/>
        </w:numPr>
        <w:spacing w:before="100" w:beforeAutospacing="1" w:after="100" w:afterAutospacing="1"/>
        <w:rPr>
          <w:rFonts w:ascii="Verdana" w:hAnsi="Verdana"/>
          <w:lang w:eastAsia="en-GB"/>
        </w:rPr>
      </w:pPr>
      <w:r w:rsidRPr="00BF1A00">
        <w:rPr>
          <w:rFonts w:ascii="Verdana" w:hAnsi="Verdana"/>
          <w:lang w:eastAsia="en-GB"/>
        </w:rPr>
        <w:t xml:space="preserve">Recorded deviations from this protocol should be sent to CGN along with the seed. </w:t>
      </w:r>
    </w:p>
    <w:p w:rsidR="00ED3F9D" w:rsidRPr="00E85844" w:rsidRDefault="00E85844" w:rsidP="00E85844">
      <w:pPr>
        <w:numPr>
          <w:ilvl w:val="0"/>
          <w:numId w:val="25"/>
        </w:numPr>
        <w:spacing w:before="100" w:beforeAutospacing="1" w:after="100" w:afterAutospacing="1"/>
        <w:rPr>
          <w:rFonts w:ascii="Verdana" w:hAnsi="Verdana"/>
        </w:rPr>
      </w:pPr>
      <w:bookmarkStart w:id="0" w:name="_GoBack"/>
      <w:bookmarkEnd w:id="0"/>
      <w:r w:rsidRPr="00E85844">
        <w:rPr>
          <w:rFonts w:ascii="Verdana" w:hAnsi="Verdana"/>
          <w:lang w:eastAsia="en-GB"/>
        </w:rPr>
        <w:t>Harvested seed is sent to CGN as soon as possible, in any case no later than six months after harvest. The seed bags are identified by their field number and their CGN number.</w:t>
      </w:r>
    </w:p>
    <w:sectPr w:rsidR="00ED3F9D" w:rsidRPr="00E8584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90B" w:rsidRDefault="006B590B">
      <w:r>
        <w:separator/>
      </w:r>
    </w:p>
  </w:endnote>
  <w:endnote w:type="continuationSeparator" w:id="0">
    <w:p w:rsidR="006B590B" w:rsidRDefault="006B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90B" w:rsidRDefault="006B590B">
      <w:r>
        <w:separator/>
      </w:r>
    </w:p>
  </w:footnote>
  <w:footnote w:type="continuationSeparator" w:id="0">
    <w:p w:rsidR="006B590B" w:rsidRDefault="006B5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01ABF">
      <w:trPr>
        <w:trHeight w:val="1099"/>
      </w:trPr>
      <w:tc>
        <w:tcPr>
          <w:tcW w:w="7338" w:type="dxa"/>
        </w:tcPr>
        <w:p w:rsidR="00901ABF" w:rsidRPr="00CE4207" w:rsidRDefault="00901ABF">
          <w:pPr>
            <w:pStyle w:val="Header"/>
            <w:rPr>
              <w:rStyle w:val="PageNumber"/>
              <w:sz w:val="16"/>
              <w:lang w:val="nl-NL"/>
            </w:rPr>
          </w:pPr>
          <w:r w:rsidRPr="00B53C74">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B53C74">
            <w:rPr>
              <w:rFonts w:ascii="Tahoma" w:hAnsi="Tahoma"/>
              <w:sz w:val="40"/>
              <w:lang w:val="nl-NL"/>
              <w14:shadow w14:blurRad="50800" w14:dist="38100" w14:dir="2700000" w14:sx="100000" w14:sy="100000" w14:kx="0" w14:ky="0" w14:algn="tl">
                <w14:srgbClr w14:val="000000">
                  <w14:alpha w14:val="60000"/>
                </w14:srgbClr>
              </w14:shadow>
            </w:rPr>
            <w:br/>
          </w:r>
          <w:r w:rsidRPr="00B53C74">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rsidR="00901ABF" w:rsidRDefault="00B53C74">
          <w:pPr>
            <w:pStyle w:val="Header"/>
            <w:rPr>
              <w:rStyle w:val="PageNumber"/>
              <w:sz w:val="16"/>
            </w:rPr>
          </w:pPr>
          <w:r>
            <w:rPr>
              <w:rFonts w:ascii="Tahoma" w:hAnsi="Tahoma"/>
              <w:b/>
              <w:noProof/>
              <w:sz w:val="40"/>
              <w:lang w:val="nl-NL"/>
            </w:rPr>
            <w:drawing>
              <wp:inline distT="0" distB="0" distL="0" distR="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01ABF">
      <w:trPr>
        <w:trHeight w:val="574"/>
      </w:trPr>
      <w:tc>
        <w:tcPr>
          <w:tcW w:w="7338" w:type="dxa"/>
        </w:tcPr>
        <w:p w:rsidR="00901ABF" w:rsidRDefault="00901ABF">
          <w:pPr>
            <w:pStyle w:val="Header"/>
            <w:tabs>
              <w:tab w:val="left" w:pos="851"/>
            </w:tabs>
            <w:rPr>
              <w:rStyle w:val="PageNumber"/>
              <w:sz w:val="16"/>
            </w:rPr>
          </w:pPr>
        </w:p>
        <w:p w:rsidR="00901ABF" w:rsidRDefault="00901ABF">
          <w:pPr>
            <w:pStyle w:val="Header"/>
            <w:tabs>
              <w:tab w:val="left" w:pos="851"/>
            </w:tabs>
            <w:rPr>
              <w:rStyle w:val="PageNumber"/>
              <w:b/>
              <w:sz w:val="16"/>
            </w:rPr>
          </w:pPr>
        </w:p>
        <w:p w:rsidR="00901ABF" w:rsidRPr="00190416" w:rsidRDefault="00901ABF">
          <w:pPr>
            <w:pStyle w:val="Header"/>
            <w:tabs>
              <w:tab w:val="left" w:pos="851"/>
            </w:tabs>
            <w:rPr>
              <w:rStyle w:val="PageNumber"/>
              <w:b/>
              <w:sz w:val="16"/>
            </w:rPr>
          </w:pPr>
          <w:r w:rsidRPr="00190416">
            <w:rPr>
              <w:rStyle w:val="PageNumber"/>
              <w:b/>
              <w:sz w:val="16"/>
            </w:rPr>
            <w:t>PRT-CGN-PG-111</w:t>
          </w:r>
          <w:r w:rsidR="00190416" w:rsidRPr="00190416">
            <w:rPr>
              <w:rStyle w:val="PageNumber"/>
              <w:b/>
              <w:sz w:val="16"/>
            </w:rPr>
            <w:t>B PROTOCOL FOR THE MULTIPLICATION OF CEREALS</w:t>
          </w:r>
        </w:p>
        <w:p w:rsidR="00901ABF" w:rsidRPr="00190416" w:rsidRDefault="00901ABF">
          <w:pPr>
            <w:pStyle w:val="Header"/>
            <w:tabs>
              <w:tab w:val="left" w:pos="851"/>
            </w:tabs>
            <w:rPr>
              <w:rStyle w:val="PageNumber"/>
              <w:sz w:val="16"/>
            </w:rPr>
          </w:pPr>
          <w:r w:rsidRPr="00190416">
            <w:rPr>
              <w:rStyle w:val="PageNumber"/>
              <w:sz w:val="16"/>
            </w:rPr>
            <w:tab/>
          </w:r>
        </w:p>
        <w:p w:rsidR="00901ABF" w:rsidRPr="00190416" w:rsidRDefault="00901ABF">
          <w:pPr>
            <w:pStyle w:val="Header"/>
            <w:tabs>
              <w:tab w:val="left" w:pos="851"/>
            </w:tabs>
            <w:rPr>
              <w:rStyle w:val="PageNumber"/>
              <w:sz w:val="16"/>
            </w:rPr>
          </w:pPr>
        </w:p>
      </w:tc>
      <w:tc>
        <w:tcPr>
          <w:tcW w:w="1518" w:type="dxa"/>
        </w:tcPr>
        <w:p w:rsidR="00901ABF" w:rsidRPr="00CE4207" w:rsidRDefault="00901ABF">
          <w:pPr>
            <w:pStyle w:val="Header"/>
            <w:rPr>
              <w:rStyle w:val="PageNumber"/>
              <w:sz w:val="16"/>
              <w:lang w:val="nl-NL"/>
            </w:rPr>
          </w:pPr>
          <w:r w:rsidRPr="00CE4207">
            <w:rPr>
              <w:rStyle w:val="PageNumber"/>
              <w:sz w:val="16"/>
              <w:lang w:val="nl-NL"/>
            </w:rPr>
            <w:t>PGR</w:t>
          </w:r>
        </w:p>
        <w:p w:rsidR="00901ABF" w:rsidRPr="00CE4207" w:rsidRDefault="00901ABF">
          <w:pPr>
            <w:pStyle w:val="Header"/>
            <w:rPr>
              <w:rStyle w:val="PageNumber"/>
              <w:sz w:val="16"/>
              <w:lang w:val="nl-NL"/>
            </w:rPr>
          </w:pPr>
          <w:r>
            <w:rPr>
              <w:rStyle w:val="PageNumber"/>
              <w:sz w:val="16"/>
              <w:lang w:val="nl-NL"/>
            </w:rPr>
            <w:t>PRT-CGN-PG-111</w:t>
          </w:r>
          <w:r w:rsidR="00190416">
            <w:rPr>
              <w:rStyle w:val="PageNumber"/>
              <w:sz w:val="16"/>
              <w:lang w:val="nl-NL"/>
            </w:rPr>
            <w:t>B</w:t>
          </w:r>
        </w:p>
        <w:p w:rsidR="00901ABF" w:rsidRPr="00CE4207" w:rsidRDefault="00190416">
          <w:pPr>
            <w:pStyle w:val="Header"/>
            <w:rPr>
              <w:rStyle w:val="PageNumber"/>
              <w:sz w:val="16"/>
              <w:lang w:val="nl-NL"/>
            </w:rPr>
          </w:pPr>
          <w:r>
            <w:rPr>
              <w:rStyle w:val="PageNumber"/>
              <w:sz w:val="16"/>
              <w:lang w:val="nl-NL"/>
            </w:rPr>
            <w:t>Versie: 1</w:t>
          </w:r>
        </w:p>
        <w:p w:rsidR="00901ABF" w:rsidRDefault="00901ABF">
          <w:pPr>
            <w:pStyle w:val="Header"/>
            <w:rPr>
              <w:rStyle w:val="PageNumber"/>
              <w:sz w:val="16"/>
            </w:rPr>
          </w:pPr>
          <w:r w:rsidRPr="00190416">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BF1A00">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BF1A00">
            <w:rPr>
              <w:rStyle w:val="PageNumber"/>
              <w:noProof/>
              <w:sz w:val="16"/>
            </w:rPr>
            <w:t>2</w:t>
          </w:r>
          <w:r>
            <w:rPr>
              <w:rStyle w:val="PageNumber"/>
              <w:sz w:val="16"/>
            </w:rPr>
            <w:fldChar w:fldCharType="end"/>
          </w:r>
        </w:p>
        <w:p w:rsidR="00901ABF" w:rsidRDefault="00190416">
          <w:pPr>
            <w:pStyle w:val="Header"/>
            <w:rPr>
              <w:rStyle w:val="PageNumber"/>
              <w:sz w:val="16"/>
            </w:rPr>
          </w:pPr>
          <w:proofErr w:type="spellStart"/>
          <w:r>
            <w:rPr>
              <w:rStyle w:val="PageNumber"/>
              <w:sz w:val="16"/>
            </w:rPr>
            <w:t>Afgifte</w:t>
          </w:r>
          <w:proofErr w:type="spellEnd"/>
          <w:r>
            <w:rPr>
              <w:rStyle w:val="PageNumber"/>
              <w:sz w:val="16"/>
            </w:rPr>
            <w:t>: 03/09/13</w:t>
          </w:r>
        </w:p>
      </w:tc>
    </w:tr>
  </w:tbl>
  <w:p w:rsidR="00901ABF" w:rsidRDefault="00901ABF">
    <w:pPr>
      <w:pStyle w:val="Header"/>
    </w:pPr>
  </w:p>
  <w:p w:rsidR="00901ABF" w:rsidRDefault="00901ABF">
    <w:pPr>
      <w:pStyle w:val="Header"/>
    </w:pPr>
  </w:p>
  <w:p w:rsidR="00901ABF" w:rsidRDefault="00901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3A748F5"/>
    <w:multiLevelType w:val="multilevel"/>
    <w:tmpl w:val="3D901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04441DE"/>
    <w:multiLevelType w:val="multilevel"/>
    <w:tmpl w:val="2512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11F2370"/>
    <w:multiLevelType w:val="multilevel"/>
    <w:tmpl w:val="6594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6"/>
  </w:num>
  <w:num w:numId="3">
    <w:abstractNumId w:val="3"/>
  </w:num>
  <w:num w:numId="4">
    <w:abstractNumId w:val="8"/>
  </w:num>
  <w:num w:numId="5">
    <w:abstractNumId w:val="16"/>
  </w:num>
  <w:num w:numId="6">
    <w:abstractNumId w:val="11"/>
  </w:num>
  <w:num w:numId="7">
    <w:abstractNumId w:val="21"/>
  </w:num>
  <w:num w:numId="8">
    <w:abstractNumId w:val="20"/>
  </w:num>
  <w:num w:numId="9">
    <w:abstractNumId w:val="18"/>
  </w:num>
  <w:num w:numId="10">
    <w:abstractNumId w:val="25"/>
  </w:num>
  <w:num w:numId="11">
    <w:abstractNumId w:val="1"/>
  </w:num>
  <w:num w:numId="12">
    <w:abstractNumId w:val="22"/>
  </w:num>
  <w:num w:numId="13">
    <w:abstractNumId w:val="0"/>
  </w:num>
  <w:num w:numId="14">
    <w:abstractNumId w:val="19"/>
  </w:num>
  <w:num w:numId="15">
    <w:abstractNumId w:val="7"/>
  </w:num>
  <w:num w:numId="16">
    <w:abstractNumId w:val="12"/>
  </w:num>
  <w:num w:numId="17">
    <w:abstractNumId w:val="17"/>
  </w:num>
  <w:num w:numId="18">
    <w:abstractNumId w:val="2"/>
  </w:num>
  <w:num w:numId="19">
    <w:abstractNumId w:val="24"/>
  </w:num>
  <w:num w:numId="20">
    <w:abstractNumId w:val="23"/>
  </w:num>
  <w:num w:numId="21">
    <w:abstractNumId w:val="14"/>
  </w:num>
  <w:num w:numId="22">
    <w:abstractNumId w:val="13"/>
  </w:num>
  <w:num w:numId="23">
    <w:abstractNumId w:val="4"/>
  </w:num>
  <w:num w:numId="24">
    <w:abstractNumId w:val="9"/>
  </w:num>
  <w:num w:numId="25">
    <w:abstractNumId w:val="1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A24"/>
    <w:rsid w:val="00017901"/>
    <w:rsid w:val="00032030"/>
    <w:rsid w:val="000618ED"/>
    <w:rsid w:val="000E6E7D"/>
    <w:rsid w:val="00190416"/>
    <w:rsid w:val="001E20B3"/>
    <w:rsid w:val="002E5A24"/>
    <w:rsid w:val="003A7431"/>
    <w:rsid w:val="00400F73"/>
    <w:rsid w:val="00445305"/>
    <w:rsid w:val="00457435"/>
    <w:rsid w:val="006B590B"/>
    <w:rsid w:val="008C462E"/>
    <w:rsid w:val="00901ABF"/>
    <w:rsid w:val="00917C40"/>
    <w:rsid w:val="00A0406F"/>
    <w:rsid w:val="00A81964"/>
    <w:rsid w:val="00AA150E"/>
    <w:rsid w:val="00B143E8"/>
    <w:rsid w:val="00B53C74"/>
    <w:rsid w:val="00BB5127"/>
    <w:rsid w:val="00BC60DE"/>
    <w:rsid w:val="00BF1A00"/>
    <w:rsid w:val="00CC4BC7"/>
    <w:rsid w:val="00D31C26"/>
    <w:rsid w:val="00E12BCE"/>
    <w:rsid w:val="00E85844"/>
    <w:rsid w:val="00ED3F9D"/>
    <w:rsid w:val="00F35750"/>
    <w:rsid w:val="00FF02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F1106"/>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5A24"/>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2E5A24"/>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rsid w:val="002E5A24"/>
    <w:pPr>
      <w:tabs>
        <w:tab w:val="center" w:pos="4153"/>
        <w:tab w:val="right" w:pos="8306"/>
      </w:tabs>
    </w:pPr>
  </w:style>
  <w:style w:type="paragraph" w:styleId="Footer">
    <w:name w:val="footer"/>
    <w:basedOn w:val="Normal"/>
    <w:rsid w:val="00017901"/>
    <w:pPr>
      <w:tabs>
        <w:tab w:val="center" w:pos="4320"/>
        <w:tab w:val="right" w:pos="8640"/>
      </w:tabs>
    </w:pPr>
  </w:style>
  <w:style w:type="paragraph" w:styleId="NormalWeb">
    <w:name w:val="Normal (Web)"/>
    <w:basedOn w:val="Normal"/>
    <w:uiPriority w:val="99"/>
    <w:unhideWhenUsed/>
    <w:rsid w:val="00032030"/>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032030"/>
    <w:pPr>
      <w:spacing w:after="200" w:line="276" w:lineRule="auto"/>
      <w:ind w:left="720"/>
      <w:contextualSpacing/>
    </w:pPr>
    <w:rPr>
      <w:rFonts w:ascii="Verdana" w:eastAsia="Calibri" w:hAnsi="Verdana"/>
      <w:sz w:val="17"/>
      <w:szCs w:val="22"/>
      <w:lang w:eastAsia="en-US"/>
    </w:rPr>
  </w:style>
  <w:style w:type="paragraph" w:styleId="BalloonText">
    <w:name w:val="Balloon Text"/>
    <w:basedOn w:val="Normal"/>
    <w:link w:val="BalloonTextChar"/>
    <w:rsid w:val="00B53C74"/>
    <w:rPr>
      <w:rFonts w:ascii="Tahoma" w:hAnsi="Tahoma" w:cs="Tahoma"/>
      <w:sz w:val="16"/>
      <w:szCs w:val="16"/>
    </w:rPr>
  </w:style>
  <w:style w:type="character" w:customStyle="1" w:styleId="BalloonTextChar">
    <w:name w:val="Balloon Text Char"/>
    <w:basedOn w:val="DefaultParagraphFont"/>
    <w:link w:val="BalloonText"/>
    <w:rsid w:val="00B53C7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35C9C-8E05-4C63-B786-AF4EB82B1F36}"/>
</file>

<file path=customXml/itemProps2.xml><?xml version="1.0" encoding="utf-8"?>
<ds:datastoreItem xmlns:ds="http://schemas.openxmlformats.org/officeDocument/2006/customXml" ds:itemID="{896DB1A7-742B-470A-9DC7-4FD6AAF3952A}"/>
</file>

<file path=docProps/app.xml><?xml version="1.0" encoding="utf-8"?>
<Properties xmlns="http://schemas.openxmlformats.org/officeDocument/2006/extended-properties" xmlns:vt="http://schemas.openxmlformats.org/officeDocument/2006/docPropsVTypes">
  <Template>13110C3D.dotm</Template>
  <TotalTime>0</TotalTime>
  <Pages>2</Pages>
  <Words>480</Words>
  <Characters>2644</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CULTUUR MATERIAAL van TARWE, GERST EN HAVER</vt:lpstr>
      <vt:lpstr>PRT-CGN-PG PROTOCOL VERMEERDERING CULTUUR MATERIAAL van TARWE, GERST EN HAVER</vt:lpstr>
    </vt:vector>
  </TitlesOfParts>
  <Company>Wageningen University and Research Centre</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CULTUUR MATERIAAL van TARWE, GERST EN HAVER</dc:title>
  <dc:creator>Bas, Noortje</dc:creator>
  <cp:lastModifiedBy>Bouchaut, Dione</cp:lastModifiedBy>
  <cp:revision>4</cp:revision>
  <cp:lastPrinted>2006-01-03T10:14:00Z</cp:lastPrinted>
  <dcterms:created xsi:type="dcterms:W3CDTF">2014-12-23T11:53:00Z</dcterms:created>
  <dcterms:modified xsi:type="dcterms:W3CDTF">2019-08-08T15:24:00Z</dcterms:modified>
</cp:coreProperties>
</file>