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79CECB" w14:textId="77777777" w:rsidR="009474E4" w:rsidRPr="00D1138A" w:rsidRDefault="009474E4">
      <w:pPr>
        <w:pStyle w:val="Heading4"/>
        <w:tabs>
          <w:tab w:val="left" w:pos="2268"/>
        </w:tabs>
        <w:spacing w:before="0" w:after="0"/>
        <w:rPr>
          <w:rFonts w:ascii="Verdana" w:hAnsi="Verdana"/>
          <w:sz w:val="20"/>
          <w:lang w:val="nl-NL"/>
        </w:rPr>
      </w:pPr>
      <w:bookmarkStart w:id="0" w:name="_Hlk19628793"/>
      <w:r w:rsidRPr="00D1138A">
        <w:rPr>
          <w:rFonts w:ascii="Verdana" w:hAnsi="Verdana"/>
          <w:sz w:val="20"/>
          <w:lang w:val="nl-NL"/>
        </w:rPr>
        <w:t xml:space="preserve">PRT-CGN-PG-301 </w:t>
      </w:r>
      <w:bookmarkEnd w:id="0"/>
      <w:r w:rsidRPr="00D1138A">
        <w:rPr>
          <w:rFonts w:ascii="Verdana" w:hAnsi="Verdana"/>
          <w:sz w:val="20"/>
          <w:lang w:val="nl-NL"/>
        </w:rPr>
        <w:t>PROTOCOL KIEMKRACHTBEPALING</w:t>
      </w:r>
    </w:p>
    <w:p w14:paraId="2AFEF35A" w14:textId="77777777" w:rsidR="009474E4" w:rsidRPr="00D1138A" w:rsidRDefault="009474E4">
      <w:pPr>
        <w:rPr>
          <w:rFonts w:ascii="Verdana" w:hAnsi="Verdana"/>
          <w:lang w:val="nl-NL"/>
        </w:rPr>
      </w:pPr>
    </w:p>
    <w:p w14:paraId="11CA809D" w14:textId="77777777" w:rsidR="009474E4" w:rsidRPr="00D1138A" w:rsidRDefault="009474E4">
      <w:pPr>
        <w:pStyle w:val="Heading5"/>
        <w:rPr>
          <w:rFonts w:ascii="Verdana" w:hAnsi="Verdana"/>
          <w:b/>
          <w:sz w:val="20"/>
          <w:lang w:val="nl-NL"/>
        </w:rPr>
      </w:pPr>
      <w:r w:rsidRPr="00D1138A">
        <w:rPr>
          <w:rFonts w:ascii="Verdana" w:hAnsi="Verdana"/>
          <w:b/>
          <w:sz w:val="20"/>
          <w:lang w:val="nl-NL"/>
        </w:rPr>
        <w:t>Inleiding</w:t>
      </w:r>
    </w:p>
    <w:p w14:paraId="20B4D45D" w14:textId="77777777" w:rsidR="00C12395" w:rsidRDefault="009474E4">
      <w:pPr>
        <w:rPr>
          <w:rFonts w:ascii="Verdana" w:hAnsi="Verdana"/>
          <w:lang w:val="nl-NL"/>
        </w:rPr>
      </w:pPr>
      <w:r w:rsidRPr="00D1138A">
        <w:rPr>
          <w:rFonts w:ascii="Verdana" w:hAnsi="Verdana"/>
          <w:lang w:val="nl-NL"/>
        </w:rPr>
        <w:t xml:space="preserve">Voor de uitvoering van kiemkrachtbepalingen worden </w:t>
      </w:r>
      <w:r w:rsidR="000977DC">
        <w:rPr>
          <w:rFonts w:ascii="Verdana" w:hAnsi="Verdana"/>
          <w:lang w:val="nl-NL"/>
        </w:rPr>
        <w:t xml:space="preserve">in </w:t>
      </w:r>
      <w:r w:rsidR="00A97A53">
        <w:rPr>
          <w:rFonts w:ascii="Verdana" w:hAnsi="Verdana"/>
          <w:lang w:val="nl-NL"/>
        </w:rPr>
        <w:t xml:space="preserve">het algemeen de ISTA </w:t>
      </w:r>
      <w:r w:rsidRPr="00D1138A">
        <w:rPr>
          <w:rFonts w:ascii="Verdana" w:hAnsi="Verdana"/>
          <w:lang w:val="nl-NL"/>
        </w:rPr>
        <w:t xml:space="preserve">richtlijnen </w:t>
      </w:r>
      <w:r w:rsidR="007D2E51" w:rsidRPr="00D1138A">
        <w:rPr>
          <w:rFonts w:ascii="Verdana" w:hAnsi="Verdana"/>
          <w:lang w:val="nl-NL"/>
        </w:rPr>
        <w:t>gevolgd</w:t>
      </w:r>
      <w:r w:rsidR="00A97A53">
        <w:rPr>
          <w:rFonts w:ascii="Verdana" w:hAnsi="Verdana"/>
          <w:lang w:val="nl-NL"/>
        </w:rPr>
        <w:t>, maar curatoren kunnen hier in de loop van de tijd op basis van praktische overwegingen wijzigingen in hebben aangebracht</w:t>
      </w:r>
      <w:r w:rsidR="007D2E51" w:rsidRPr="00D1138A">
        <w:rPr>
          <w:rFonts w:ascii="Verdana" w:hAnsi="Verdana"/>
          <w:lang w:val="nl-NL"/>
        </w:rPr>
        <w:t>. Deze methoden worden voor iedere kiemkrachtbepaling geregistreerd in GENIS</w:t>
      </w:r>
      <w:r w:rsidR="00D1138A" w:rsidRPr="00D1138A">
        <w:rPr>
          <w:rFonts w:ascii="Verdana" w:hAnsi="Verdana"/>
          <w:lang w:val="nl-NL"/>
        </w:rPr>
        <w:t xml:space="preserve"> en staan </w:t>
      </w:r>
      <w:r w:rsidR="00EB66DA">
        <w:rPr>
          <w:rFonts w:ascii="Verdana" w:hAnsi="Verdana"/>
          <w:lang w:val="nl-NL"/>
        </w:rPr>
        <w:t xml:space="preserve">ook </w:t>
      </w:r>
      <w:r w:rsidR="00D1138A" w:rsidRPr="00D1138A">
        <w:rPr>
          <w:rFonts w:ascii="Verdana" w:hAnsi="Verdana"/>
          <w:lang w:val="nl-NL"/>
        </w:rPr>
        <w:t xml:space="preserve">vermeld in </w:t>
      </w:r>
      <w:r w:rsidR="00083C08">
        <w:rPr>
          <w:rFonts w:ascii="Verdana" w:hAnsi="Verdana"/>
          <w:lang w:val="nl-NL"/>
        </w:rPr>
        <w:t>het overzicht Methoden kiemkrachtbepalingen (</w:t>
      </w:r>
      <w:r w:rsidR="0006319B">
        <w:rPr>
          <w:rFonts w:ascii="Verdana" w:hAnsi="Verdana"/>
          <w:lang w:val="nl-NL"/>
        </w:rPr>
        <w:t>OVZ</w:t>
      </w:r>
      <w:r w:rsidR="0006319B" w:rsidRPr="0006319B">
        <w:rPr>
          <w:rFonts w:ascii="Verdana" w:hAnsi="Verdana"/>
          <w:lang w:val="nl-NL"/>
        </w:rPr>
        <w:t>-CGN-PG-301</w:t>
      </w:r>
      <w:r w:rsidR="00083C08">
        <w:rPr>
          <w:rFonts w:ascii="Verdana" w:hAnsi="Verdana"/>
          <w:lang w:val="nl-NL"/>
        </w:rPr>
        <w:t>)</w:t>
      </w:r>
      <w:r w:rsidR="007D2E51" w:rsidRPr="00D1138A">
        <w:rPr>
          <w:rFonts w:ascii="Verdana" w:hAnsi="Verdana"/>
          <w:lang w:val="nl-NL"/>
        </w:rPr>
        <w:t>.</w:t>
      </w:r>
      <w:r w:rsidR="00083C08">
        <w:rPr>
          <w:rFonts w:ascii="Verdana" w:hAnsi="Verdana"/>
          <w:lang w:val="nl-NL"/>
        </w:rPr>
        <w:t xml:space="preserve"> </w:t>
      </w:r>
    </w:p>
    <w:p w14:paraId="5443B8A5" w14:textId="77777777" w:rsidR="00DE1819" w:rsidRPr="00D1138A" w:rsidRDefault="00DE1819">
      <w:pPr>
        <w:rPr>
          <w:rFonts w:ascii="Verdana" w:hAnsi="Verdana"/>
          <w:lang w:val="nl-NL"/>
        </w:rPr>
      </w:pPr>
    </w:p>
    <w:p w14:paraId="450F6902" w14:textId="77777777" w:rsidR="00C12395" w:rsidRPr="00D1138A" w:rsidRDefault="00C12395">
      <w:pPr>
        <w:rPr>
          <w:rFonts w:ascii="Verdana" w:hAnsi="Verdana"/>
          <w:b/>
          <w:lang w:val="nl-NL"/>
        </w:rPr>
      </w:pPr>
      <w:r w:rsidRPr="00D1138A">
        <w:rPr>
          <w:rFonts w:ascii="Verdana" w:hAnsi="Verdana"/>
          <w:b/>
          <w:lang w:val="nl-NL"/>
        </w:rPr>
        <w:t>Frequentie</w:t>
      </w:r>
      <w:r w:rsidR="00B57453">
        <w:rPr>
          <w:rFonts w:ascii="Verdana" w:hAnsi="Verdana"/>
          <w:b/>
          <w:lang w:val="nl-NL"/>
        </w:rPr>
        <w:t xml:space="preserve">, </w:t>
      </w:r>
      <w:r w:rsidR="00BC6D33" w:rsidRPr="00D1138A">
        <w:rPr>
          <w:rFonts w:ascii="Verdana" w:hAnsi="Verdana"/>
          <w:b/>
          <w:lang w:val="nl-NL"/>
        </w:rPr>
        <w:t>typen</w:t>
      </w:r>
      <w:r w:rsidRPr="00D1138A">
        <w:rPr>
          <w:rFonts w:ascii="Verdana" w:hAnsi="Verdana"/>
          <w:b/>
          <w:lang w:val="nl-NL"/>
        </w:rPr>
        <w:t xml:space="preserve"> </w:t>
      </w:r>
      <w:r w:rsidR="00B57453">
        <w:rPr>
          <w:rFonts w:ascii="Verdana" w:hAnsi="Verdana"/>
          <w:b/>
          <w:lang w:val="nl-NL"/>
        </w:rPr>
        <w:t xml:space="preserve">en planning </w:t>
      </w:r>
      <w:r w:rsidRPr="00D1138A">
        <w:rPr>
          <w:rFonts w:ascii="Verdana" w:hAnsi="Verdana"/>
          <w:b/>
          <w:lang w:val="nl-NL"/>
        </w:rPr>
        <w:t>kiemkrachtbepalingen</w:t>
      </w:r>
    </w:p>
    <w:p w14:paraId="7B3C4E1C" w14:textId="77777777" w:rsidR="00BC6D33" w:rsidRPr="00D1138A" w:rsidRDefault="00BC6D33" w:rsidP="00BC6D33">
      <w:pPr>
        <w:pStyle w:val="Heading5"/>
        <w:rPr>
          <w:rFonts w:ascii="Verdana" w:hAnsi="Verdana"/>
          <w:b/>
          <w:sz w:val="20"/>
          <w:u w:val="single"/>
          <w:lang w:val="nl-NL"/>
        </w:rPr>
      </w:pPr>
      <w:r w:rsidRPr="00D1138A">
        <w:rPr>
          <w:rFonts w:ascii="Verdana" w:hAnsi="Verdana"/>
          <w:sz w:val="20"/>
          <w:u w:val="single"/>
          <w:lang w:val="nl-NL"/>
        </w:rPr>
        <w:t>Aanvangskiemkracht bij verworven of vermeerderd materiaal (A)</w:t>
      </w:r>
    </w:p>
    <w:p w14:paraId="538D86F3" w14:textId="77777777" w:rsidR="00BC6D33" w:rsidRPr="00D1138A" w:rsidRDefault="00BC6D33" w:rsidP="00BC6D33">
      <w:pPr>
        <w:spacing w:after="200"/>
        <w:contextualSpacing/>
        <w:rPr>
          <w:rFonts w:ascii="Verdana" w:eastAsia="Calibri" w:hAnsi="Verdana" w:cs="Calibri"/>
          <w:lang w:val="nl-NL" w:eastAsia="en-US"/>
        </w:rPr>
      </w:pPr>
      <w:r w:rsidRPr="00D1138A">
        <w:rPr>
          <w:rFonts w:ascii="Verdana" w:eastAsia="Calibri" w:hAnsi="Verdana" w:cs="Calibri"/>
          <w:lang w:val="nl-NL" w:eastAsia="en-US"/>
        </w:rPr>
        <w:t xml:space="preserve">Voordat een monster in de genenbank wordt opgenomen wordt er een aanvangskiemkracht gedaan. </w:t>
      </w:r>
    </w:p>
    <w:p w14:paraId="777EFF00" w14:textId="77777777" w:rsidR="00BC6D33" w:rsidRPr="00D1138A" w:rsidRDefault="00BC6D33" w:rsidP="00BC6D33">
      <w:pPr>
        <w:pStyle w:val="EnvelopeReturn"/>
        <w:tabs>
          <w:tab w:val="left" w:pos="2977"/>
        </w:tabs>
        <w:rPr>
          <w:rFonts w:ascii="Verdana" w:hAnsi="Verdana"/>
          <w:u w:val="single"/>
          <w:lang w:val="nl-NL"/>
        </w:rPr>
      </w:pPr>
      <w:r w:rsidRPr="00D1138A">
        <w:rPr>
          <w:rFonts w:ascii="Verdana" w:hAnsi="Verdana"/>
          <w:u w:val="single"/>
          <w:lang w:val="nl-NL"/>
        </w:rPr>
        <w:t>Herhalingskiemkracht (H)</w:t>
      </w:r>
    </w:p>
    <w:p w14:paraId="5E09A453" w14:textId="77777777" w:rsidR="00BC6D33" w:rsidRPr="00D1138A" w:rsidRDefault="00BC6D33" w:rsidP="00BC6D33">
      <w:pPr>
        <w:spacing w:after="200"/>
        <w:contextualSpacing/>
        <w:rPr>
          <w:rFonts w:ascii="Verdana" w:eastAsia="Calibri" w:hAnsi="Verdana" w:cs="Calibri"/>
          <w:lang w:val="nl-NL" w:eastAsia="en-US"/>
        </w:rPr>
      </w:pPr>
      <w:r w:rsidRPr="00D1138A">
        <w:rPr>
          <w:rFonts w:ascii="Verdana" w:hAnsi="Verdana"/>
          <w:lang w:val="nl-NL"/>
        </w:rPr>
        <w:t xml:space="preserve">Hieronder wordt verstaan het monitoren van de kiemkracht van collectiemateriaal na verloop van tijd. </w:t>
      </w:r>
      <w:bookmarkStart w:id="1" w:name="_Hlk19617397"/>
      <w:r w:rsidRPr="00D1138A">
        <w:rPr>
          <w:rFonts w:ascii="Verdana" w:hAnsi="Verdana"/>
          <w:lang w:val="nl-NL"/>
        </w:rPr>
        <w:t xml:space="preserve">De verwachting is dat de kiemkracht van zaad dat is opgeslagen bij –20°C met een absoluut vochtgehalte tussen de 3 en 7% slechts langzaam achteruit zal gaan. </w:t>
      </w:r>
      <w:bookmarkEnd w:id="1"/>
      <w:r w:rsidRPr="00D1138A">
        <w:rPr>
          <w:rFonts w:ascii="Verdana" w:hAnsi="Verdana"/>
          <w:lang w:val="nl-NL"/>
        </w:rPr>
        <w:br/>
        <w:t>Binnen CGN is de richtlijn om de eerste herhalingskiemkracht 25 jaar na opname van de desbetreffende accessie uit te voeren, gevolgd door intervallen van 5 of 10 jaar, afhankelijk van de kiemkrachtresultaten. Bij tarwe en gerst wordt een betere bewaarbaarheid verwacht dan bij andere gewassen, daarom gelden hiervoor intervallen van 5 resp. 20 jaar.</w:t>
      </w:r>
      <w:r w:rsidR="00C53ADB" w:rsidRPr="00D1138A">
        <w:rPr>
          <w:rFonts w:ascii="Verdana" w:hAnsi="Verdana"/>
          <w:lang w:val="nl-NL"/>
        </w:rPr>
        <w:br/>
      </w:r>
      <w:r w:rsidR="00C53ADB" w:rsidRPr="00D1138A">
        <w:rPr>
          <w:rFonts w:ascii="Verdana" w:eastAsia="Calibri" w:hAnsi="Verdana" w:cs="Calibri"/>
          <w:lang w:val="nl-NL" w:eastAsia="en-US"/>
        </w:rPr>
        <w:t>Er worden geen testen meer uitgevoerd op accessies waarvan nu al bekend is dat die in de komende jaren zullen worden vermeerderd.</w:t>
      </w:r>
      <w:r w:rsidRPr="00D1138A">
        <w:rPr>
          <w:rFonts w:ascii="Verdana" w:hAnsi="Verdana"/>
          <w:lang w:val="nl-NL"/>
        </w:rPr>
        <w:br/>
        <w:t xml:space="preserve">Jaarlijks wordt een overzicht van alle uit te voeren kiemkrachtbepalingen gemaakt door het hoofd Documentatie. Dit overzicht wordt gegenereerd uit GENIS waarbij bovenstaande kiemkrachtintervallen gehanteerd worden. De curatoren kunnen dit advies gebruiken om een planning te maken. </w:t>
      </w:r>
      <w:r w:rsidRPr="00D1138A">
        <w:rPr>
          <w:rFonts w:ascii="Verdana" w:eastAsia="Calibri" w:hAnsi="Verdana" w:cs="Calibri"/>
          <w:lang w:val="nl-NL" w:eastAsia="en-US"/>
        </w:rPr>
        <w:t xml:space="preserve">Bij bepaling van het uitvoeringsjaar kan beperkte flexibiliteit worden toegepast voor bijvoorbeeld het opvangen van verschillen in testaantallen tussen jaren of het combineren van kleine aantallen materiaal van hetzelfde type. </w:t>
      </w:r>
    </w:p>
    <w:p w14:paraId="32F1F1C6" w14:textId="77777777" w:rsidR="00BC6D33" w:rsidRPr="00D1138A" w:rsidRDefault="00BC6D33" w:rsidP="00BC6D33">
      <w:pPr>
        <w:pStyle w:val="EnvelopeReturn"/>
        <w:rPr>
          <w:rFonts w:ascii="Verdana" w:hAnsi="Verdana"/>
          <w:u w:val="single"/>
          <w:lang w:val="nl-NL"/>
        </w:rPr>
      </w:pPr>
      <w:r w:rsidRPr="00D1138A">
        <w:rPr>
          <w:rFonts w:ascii="Verdana" w:hAnsi="Verdana"/>
          <w:u w:val="single"/>
          <w:lang w:val="nl-NL"/>
        </w:rPr>
        <w:t>Duplicaat kiemkrachtbepaling</w:t>
      </w:r>
    </w:p>
    <w:p w14:paraId="06D508CF" w14:textId="77777777" w:rsidR="00DC0287" w:rsidRPr="00D1138A" w:rsidRDefault="00DC0287" w:rsidP="00DC0287">
      <w:pPr>
        <w:pStyle w:val="EnvelopeReturn"/>
        <w:rPr>
          <w:rFonts w:ascii="Verdana" w:hAnsi="Verdana"/>
          <w:lang w:val="nl-NL"/>
        </w:rPr>
      </w:pPr>
      <w:bookmarkStart w:id="2" w:name="_Hlk19617555"/>
      <w:r w:rsidRPr="00D1138A">
        <w:rPr>
          <w:rFonts w:ascii="Verdana" w:hAnsi="Verdana"/>
          <w:lang w:val="nl-NL"/>
        </w:rPr>
        <w:t xml:space="preserve">Bij de duplicaat kiemkrachtbepaling wordt </w:t>
      </w:r>
      <w:r w:rsidR="00CD3A51" w:rsidRPr="00D1138A">
        <w:rPr>
          <w:rFonts w:ascii="Verdana" w:hAnsi="Verdana"/>
          <w:lang w:val="nl-NL"/>
        </w:rPr>
        <w:t>een deel</w:t>
      </w:r>
      <w:r w:rsidRPr="00D1138A">
        <w:rPr>
          <w:rFonts w:ascii="Verdana" w:hAnsi="Verdana"/>
          <w:lang w:val="nl-NL"/>
        </w:rPr>
        <w:t xml:space="preserve"> van de monsters voor een tweede keer onder code nummer (anoniem) getest.  Per gewas wordt willekeurig bepaald welke nummers voor een tweede bepaling in aanmerking komen. </w:t>
      </w:r>
    </w:p>
    <w:p w14:paraId="35BF9271" w14:textId="77777777" w:rsidR="00C53ADB" w:rsidRPr="00D1138A" w:rsidRDefault="00C53ADB" w:rsidP="00BC6D33">
      <w:pPr>
        <w:pStyle w:val="EnvelopeReturn"/>
        <w:rPr>
          <w:rFonts w:ascii="Verdana" w:hAnsi="Verdana"/>
          <w:lang w:val="nl-NL"/>
        </w:rPr>
      </w:pPr>
      <w:r w:rsidRPr="00D1138A">
        <w:rPr>
          <w:rFonts w:ascii="Verdana" w:hAnsi="Verdana"/>
          <w:lang w:val="nl-NL"/>
        </w:rPr>
        <w:t>De reden voor deze controle is het testen van de reproduceerbaarheid van de uitslagen en het streven naar verbetering van de kiemkrachtprotocollen.</w:t>
      </w:r>
    </w:p>
    <w:bookmarkEnd w:id="2"/>
    <w:p w14:paraId="1161B718" w14:textId="77777777" w:rsidR="00DC0287" w:rsidRPr="00D1138A" w:rsidRDefault="00DC0287" w:rsidP="00BC6D33">
      <w:pPr>
        <w:pStyle w:val="EnvelopeReturn"/>
        <w:rPr>
          <w:rFonts w:ascii="Verdana" w:hAnsi="Verdana"/>
          <w:u w:val="single"/>
          <w:lang w:val="nl-NL"/>
        </w:rPr>
      </w:pPr>
    </w:p>
    <w:p w14:paraId="6CB9D67A" w14:textId="77777777" w:rsidR="00C53ADB" w:rsidRPr="00D1138A" w:rsidRDefault="00C53ADB" w:rsidP="00C53ADB">
      <w:pPr>
        <w:pStyle w:val="EnvelopeReturn"/>
        <w:rPr>
          <w:rFonts w:ascii="Verdana" w:hAnsi="Verdana"/>
          <w:lang w:val="nl-NL"/>
        </w:rPr>
      </w:pPr>
      <w:r w:rsidRPr="00D1138A">
        <w:rPr>
          <w:rFonts w:ascii="Verdana" w:hAnsi="Verdana"/>
          <w:lang w:val="nl-NL"/>
        </w:rPr>
        <w:t xml:space="preserve">Aan de hand van </w:t>
      </w:r>
      <w:r w:rsidR="005E1BA0" w:rsidRPr="00D1138A">
        <w:rPr>
          <w:rFonts w:ascii="Verdana" w:hAnsi="Verdana"/>
          <w:lang w:val="nl-NL"/>
        </w:rPr>
        <w:t>de</w:t>
      </w:r>
      <w:r w:rsidRPr="00D1138A">
        <w:rPr>
          <w:rFonts w:ascii="Verdana" w:hAnsi="Verdana"/>
          <w:lang w:val="nl-NL"/>
        </w:rPr>
        <w:t xml:space="preserve"> kiemkrachtresultaten van het voorgaande jaar worden een aantal gewassen geselecteerd die </w:t>
      </w:r>
      <w:r w:rsidR="005E1BA0" w:rsidRPr="00D1138A">
        <w:rPr>
          <w:rFonts w:ascii="Verdana" w:hAnsi="Verdana"/>
          <w:lang w:val="nl-NL"/>
        </w:rPr>
        <w:t xml:space="preserve">het huidige </w:t>
      </w:r>
      <w:r w:rsidRPr="00D1138A">
        <w:rPr>
          <w:rFonts w:ascii="Verdana" w:hAnsi="Verdana"/>
          <w:lang w:val="nl-NL"/>
        </w:rPr>
        <w:t xml:space="preserve">jaar gecontroleerd worden. </w:t>
      </w:r>
      <w:r w:rsidR="00DC0287" w:rsidRPr="00D1138A">
        <w:rPr>
          <w:rFonts w:ascii="Verdana" w:hAnsi="Verdana"/>
          <w:lang w:val="nl-NL"/>
        </w:rPr>
        <w:t>Het CGN streeft</w:t>
      </w:r>
      <w:r w:rsidRPr="00D1138A">
        <w:rPr>
          <w:rFonts w:ascii="Verdana" w:hAnsi="Verdana"/>
          <w:lang w:val="nl-NL"/>
        </w:rPr>
        <w:t xml:space="preserve"> ernaar </w:t>
      </w:r>
      <w:r w:rsidR="00DC0287" w:rsidRPr="00D1138A">
        <w:rPr>
          <w:rFonts w:ascii="Verdana" w:hAnsi="Verdana"/>
          <w:lang w:val="nl-NL"/>
        </w:rPr>
        <w:t>om in vijf jaar</w:t>
      </w:r>
      <w:r w:rsidRPr="00D1138A">
        <w:rPr>
          <w:rFonts w:ascii="Verdana" w:hAnsi="Verdana"/>
          <w:lang w:val="nl-NL"/>
        </w:rPr>
        <w:t xml:space="preserve"> alle gewassen een keer gecontroleerd te hebben. De gewaskeuze wordt met de curator van het gewas overlegd; als </w:t>
      </w:r>
      <w:r w:rsidR="005E1BA0" w:rsidRPr="00D1138A">
        <w:rPr>
          <w:rFonts w:ascii="Verdana" w:hAnsi="Verdana"/>
          <w:lang w:val="nl-NL"/>
        </w:rPr>
        <w:t>er</w:t>
      </w:r>
      <w:r w:rsidRPr="00D1138A">
        <w:rPr>
          <w:rFonts w:ascii="Verdana" w:hAnsi="Verdana"/>
          <w:lang w:val="nl-NL"/>
        </w:rPr>
        <w:t xml:space="preserve"> </w:t>
      </w:r>
      <w:r w:rsidR="000977DC">
        <w:rPr>
          <w:rFonts w:ascii="Verdana" w:hAnsi="Verdana"/>
          <w:lang w:val="nl-NL"/>
        </w:rPr>
        <w:t>dat</w:t>
      </w:r>
      <w:r w:rsidRPr="00D1138A">
        <w:rPr>
          <w:rFonts w:ascii="Verdana" w:hAnsi="Verdana"/>
          <w:lang w:val="nl-NL"/>
        </w:rPr>
        <w:t xml:space="preserve"> jaar geen kiemkrachtbepalingen voor dat gewas </w:t>
      </w:r>
      <w:r w:rsidR="005E1BA0" w:rsidRPr="00D1138A">
        <w:rPr>
          <w:rFonts w:ascii="Verdana" w:hAnsi="Verdana"/>
          <w:lang w:val="nl-NL"/>
        </w:rPr>
        <w:t>ingepland zijn, kan</w:t>
      </w:r>
      <w:r w:rsidRPr="00D1138A">
        <w:rPr>
          <w:rFonts w:ascii="Verdana" w:hAnsi="Verdana"/>
          <w:lang w:val="nl-NL"/>
        </w:rPr>
        <w:t xml:space="preserve"> </w:t>
      </w:r>
      <w:r w:rsidR="00CD3A51" w:rsidRPr="00D1138A">
        <w:rPr>
          <w:rFonts w:ascii="Verdana" w:hAnsi="Verdana"/>
          <w:lang w:val="nl-NL"/>
        </w:rPr>
        <w:t xml:space="preserve">eventueel </w:t>
      </w:r>
      <w:r w:rsidRPr="00D1138A">
        <w:rPr>
          <w:rFonts w:ascii="Verdana" w:hAnsi="Verdana"/>
          <w:lang w:val="nl-NL"/>
        </w:rPr>
        <w:t xml:space="preserve">besloten worden </w:t>
      </w:r>
      <w:r w:rsidR="005E1BA0" w:rsidRPr="00D1138A">
        <w:rPr>
          <w:rFonts w:ascii="Verdana" w:hAnsi="Verdana"/>
          <w:lang w:val="nl-NL"/>
        </w:rPr>
        <w:t>e</w:t>
      </w:r>
      <w:r w:rsidRPr="00D1138A">
        <w:rPr>
          <w:rFonts w:ascii="Verdana" w:hAnsi="Verdana"/>
          <w:lang w:val="nl-NL"/>
        </w:rPr>
        <w:t xml:space="preserve">en ander gewas te kiezen. Ook als bij de selectie van accessies ergens </w:t>
      </w:r>
      <w:r w:rsidR="007A2986">
        <w:rPr>
          <w:rFonts w:ascii="Verdana" w:hAnsi="Verdana"/>
          <w:lang w:val="nl-NL"/>
        </w:rPr>
        <w:t xml:space="preserve">anders </w:t>
      </w:r>
      <w:r w:rsidRPr="00D1138A">
        <w:rPr>
          <w:rFonts w:ascii="Verdana" w:hAnsi="Verdana"/>
          <w:lang w:val="nl-NL"/>
        </w:rPr>
        <w:t xml:space="preserve">rekening mee moet worden gehouden (b.v. dit jaar geen wilde accessies) wordt dat besproken en genoteerd. </w:t>
      </w:r>
    </w:p>
    <w:p w14:paraId="30660074" w14:textId="77777777" w:rsidR="00C53ADB" w:rsidRPr="00D1138A" w:rsidRDefault="00DC0287" w:rsidP="00C53ADB">
      <w:pPr>
        <w:pStyle w:val="EnvelopeReturn"/>
        <w:rPr>
          <w:rFonts w:ascii="Verdana" w:hAnsi="Verdana"/>
          <w:lang w:val="nl-NL"/>
        </w:rPr>
      </w:pPr>
      <w:r w:rsidRPr="00D1138A">
        <w:rPr>
          <w:rFonts w:ascii="Verdana" w:hAnsi="Verdana"/>
          <w:lang w:val="nl-NL"/>
        </w:rPr>
        <w:lastRenderedPageBreak/>
        <w:t>Na de gewaskeuze wordt u</w:t>
      </w:r>
      <w:r w:rsidR="00C53ADB" w:rsidRPr="00D1138A">
        <w:rPr>
          <w:rFonts w:ascii="Verdana" w:hAnsi="Verdana"/>
          <w:lang w:val="nl-NL"/>
        </w:rPr>
        <w:t xml:space="preserve">it </w:t>
      </w:r>
      <w:r w:rsidR="00CD3A51" w:rsidRPr="00D1138A">
        <w:rPr>
          <w:rFonts w:ascii="Verdana" w:hAnsi="Verdana"/>
          <w:lang w:val="nl-NL"/>
        </w:rPr>
        <w:t>de</w:t>
      </w:r>
      <w:r w:rsidR="00C53ADB" w:rsidRPr="00D1138A">
        <w:rPr>
          <w:rFonts w:ascii="Verdana" w:hAnsi="Verdana"/>
          <w:lang w:val="nl-NL"/>
        </w:rPr>
        <w:t xml:space="preserve"> vorig jaar geteste accessies een selectie van 5% met een minimum van 10 </w:t>
      </w:r>
      <w:r w:rsidR="00CD3A51" w:rsidRPr="00D1138A">
        <w:rPr>
          <w:rFonts w:ascii="Verdana" w:hAnsi="Verdana"/>
          <w:lang w:val="nl-NL"/>
        </w:rPr>
        <w:t xml:space="preserve">accessies </w:t>
      </w:r>
      <w:r w:rsidR="00C53ADB" w:rsidRPr="00D1138A">
        <w:rPr>
          <w:rFonts w:ascii="Verdana" w:hAnsi="Verdana"/>
          <w:lang w:val="nl-NL"/>
        </w:rPr>
        <w:t>gemaakt (indien mogelijk). De procedure van selectie wordt genoteerd.</w:t>
      </w:r>
      <w:r w:rsidR="001B5982" w:rsidRPr="00D1138A">
        <w:rPr>
          <w:rFonts w:ascii="Verdana" w:hAnsi="Verdana"/>
          <w:lang w:val="nl-NL"/>
        </w:rPr>
        <w:br/>
        <w:t>De duplobepalingen (van het afgelopen jaar) worden tegelijkertijd uitgevoerd met de (</w:t>
      </w:r>
      <w:proofErr w:type="spellStart"/>
      <w:r w:rsidR="001B5982" w:rsidRPr="00D1138A">
        <w:rPr>
          <w:rFonts w:ascii="Verdana" w:hAnsi="Verdana"/>
          <w:lang w:val="nl-NL"/>
        </w:rPr>
        <w:t>herhalings</w:t>
      </w:r>
      <w:proofErr w:type="spellEnd"/>
      <w:r w:rsidR="001B5982" w:rsidRPr="00D1138A">
        <w:rPr>
          <w:rFonts w:ascii="Verdana" w:hAnsi="Verdana"/>
          <w:lang w:val="nl-NL"/>
        </w:rPr>
        <w:t>)kiemkrachten van het huidige jaar.</w:t>
      </w:r>
    </w:p>
    <w:p w14:paraId="542C3EFA" w14:textId="77777777" w:rsidR="001B5982" w:rsidRPr="00D1138A" w:rsidRDefault="00C53ADB" w:rsidP="001B5982">
      <w:pPr>
        <w:pStyle w:val="EnvelopeReturn"/>
        <w:rPr>
          <w:rFonts w:ascii="Verdana" w:hAnsi="Verdana"/>
          <w:lang w:val="nl-NL"/>
        </w:rPr>
      </w:pPr>
      <w:r w:rsidRPr="00D1138A">
        <w:rPr>
          <w:rFonts w:ascii="Verdana" w:hAnsi="Verdana"/>
          <w:lang w:val="nl-NL"/>
        </w:rPr>
        <w:t xml:space="preserve">Zodra de curator de zakjes voor de kiemkrachtbepaling </w:t>
      </w:r>
      <w:r w:rsidR="001B5982" w:rsidRPr="00D1138A">
        <w:rPr>
          <w:rFonts w:ascii="Verdana" w:hAnsi="Verdana"/>
          <w:lang w:val="nl-NL"/>
        </w:rPr>
        <w:t xml:space="preserve">van het huidige jaar </w:t>
      </w:r>
      <w:r w:rsidRPr="00D1138A">
        <w:rPr>
          <w:rFonts w:ascii="Verdana" w:hAnsi="Verdana"/>
          <w:lang w:val="nl-NL"/>
        </w:rPr>
        <w:t>laat</w:t>
      </w:r>
      <w:r w:rsidR="00DC0287" w:rsidRPr="00D1138A">
        <w:rPr>
          <w:rFonts w:ascii="Verdana" w:hAnsi="Verdana"/>
          <w:lang w:val="nl-NL"/>
        </w:rPr>
        <w:t xml:space="preserve"> </w:t>
      </w:r>
      <w:r w:rsidRPr="00D1138A">
        <w:rPr>
          <w:rFonts w:ascii="Verdana" w:hAnsi="Verdana"/>
          <w:lang w:val="nl-NL"/>
        </w:rPr>
        <w:t xml:space="preserve">pakken geeft hij/zij aan </w:t>
      </w:r>
      <w:r w:rsidR="00CD3A51" w:rsidRPr="00D1138A">
        <w:rPr>
          <w:rFonts w:ascii="Verdana" w:hAnsi="Verdana"/>
          <w:lang w:val="nl-NL"/>
        </w:rPr>
        <w:t xml:space="preserve">dat er ook duplobepalingen uitgevoerd moeten worden, </w:t>
      </w:r>
      <w:r w:rsidRPr="00D1138A">
        <w:rPr>
          <w:rFonts w:ascii="Verdana" w:hAnsi="Verdana"/>
          <w:lang w:val="nl-NL"/>
        </w:rPr>
        <w:t xml:space="preserve">en wordt ook het duplomateriaal gepakt door de </w:t>
      </w:r>
      <w:proofErr w:type="spellStart"/>
      <w:r w:rsidR="001B5982" w:rsidRPr="00D1138A">
        <w:rPr>
          <w:rFonts w:ascii="Verdana" w:hAnsi="Verdana"/>
          <w:lang w:val="nl-NL"/>
        </w:rPr>
        <w:t>S</w:t>
      </w:r>
      <w:r w:rsidR="00A7608E" w:rsidRPr="00D1138A">
        <w:rPr>
          <w:rFonts w:ascii="Verdana" w:hAnsi="Verdana"/>
          <w:lang w:val="nl-NL"/>
        </w:rPr>
        <w:t>eedmanager</w:t>
      </w:r>
      <w:proofErr w:type="spellEnd"/>
      <w:r w:rsidRPr="00D1138A">
        <w:rPr>
          <w:rFonts w:ascii="Verdana" w:hAnsi="Verdana"/>
          <w:lang w:val="nl-NL"/>
        </w:rPr>
        <w:t xml:space="preserve">. Dit wordt onmiddellijk overgepakt </w:t>
      </w:r>
      <w:r w:rsidR="00A7608E" w:rsidRPr="00D1138A">
        <w:rPr>
          <w:rFonts w:ascii="Verdana" w:hAnsi="Verdana"/>
          <w:lang w:val="nl-NL"/>
        </w:rPr>
        <w:t xml:space="preserve">door de Projectmedewerker documentatie, en </w:t>
      </w:r>
      <w:r w:rsidRPr="00D1138A">
        <w:rPr>
          <w:rFonts w:ascii="Verdana" w:hAnsi="Verdana"/>
          <w:lang w:val="nl-NL"/>
        </w:rPr>
        <w:t>in nieuwe zakjes met een code</w:t>
      </w:r>
      <w:r w:rsidR="00CD3A51" w:rsidRPr="00D1138A">
        <w:rPr>
          <w:rFonts w:ascii="Verdana" w:hAnsi="Verdana"/>
          <w:lang w:val="nl-NL"/>
        </w:rPr>
        <w:t xml:space="preserve"> erop </w:t>
      </w:r>
      <w:r w:rsidRPr="00D1138A">
        <w:rPr>
          <w:rFonts w:ascii="Verdana" w:hAnsi="Verdana"/>
          <w:lang w:val="nl-NL"/>
        </w:rPr>
        <w:t>aan de curator gegeven</w:t>
      </w:r>
      <w:r w:rsidR="00CD3A51" w:rsidRPr="00D1138A">
        <w:rPr>
          <w:rFonts w:ascii="Verdana" w:hAnsi="Verdana"/>
          <w:lang w:val="nl-NL"/>
        </w:rPr>
        <w:t>. Hierdoor gebeurt dit proces</w:t>
      </w:r>
      <w:r w:rsidR="001B5982" w:rsidRPr="00D1138A">
        <w:rPr>
          <w:rFonts w:ascii="Verdana" w:hAnsi="Verdana"/>
          <w:lang w:val="nl-NL"/>
        </w:rPr>
        <w:t xml:space="preserve"> ‘blind’: de curator weet niet om welke accessies het gaat</w:t>
      </w:r>
      <w:r w:rsidR="00CD3A51" w:rsidRPr="00D1138A">
        <w:rPr>
          <w:rFonts w:ascii="Verdana" w:hAnsi="Verdana"/>
          <w:lang w:val="nl-NL"/>
        </w:rPr>
        <w:t>,</w:t>
      </w:r>
      <w:r w:rsidR="001B5982" w:rsidRPr="00D1138A">
        <w:rPr>
          <w:rFonts w:ascii="Verdana" w:hAnsi="Verdana"/>
          <w:lang w:val="nl-NL"/>
        </w:rPr>
        <w:t xml:space="preserve"> zodat de beoordeling onafhankelijk is.</w:t>
      </w:r>
    </w:p>
    <w:p w14:paraId="4078D8AF" w14:textId="09B16C4A" w:rsidR="00C53ADB" w:rsidRPr="00D1138A" w:rsidRDefault="002A0731" w:rsidP="00C53ADB">
      <w:pPr>
        <w:pStyle w:val="EnvelopeReturn"/>
        <w:rPr>
          <w:rFonts w:ascii="Verdana" w:hAnsi="Verdana"/>
          <w:lang w:val="nl-NL"/>
        </w:rPr>
      </w:pPr>
      <w:r w:rsidRPr="00D1138A">
        <w:rPr>
          <w:rFonts w:ascii="Verdana" w:hAnsi="Verdana"/>
          <w:lang w:val="nl-NL"/>
        </w:rPr>
        <w:t xml:space="preserve">Na het uitvoeren van de duplobepalingen worden de </w:t>
      </w:r>
      <w:r w:rsidR="00C53ADB" w:rsidRPr="00D1138A">
        <w:rPr>
          <w:rFonts w:ascii="Verdana" w:hAnsi="Verdana"/>
          <w:lang w:val="nl-NL"/>
        </w:rPr>
        <w:t>resultaten ‘</w:t>
      </w:r>
      <w:proofErr w:type="spellStart"/>
      <w:r w:rsidR="00C53ADB" w:rsidRPr="00D1138A">
        <w:rPr>
          <w:rFonts w:ascii="Verdana" w:hAnsi="Verdana"/>
          <w:lang w:val="nl-NL"/>
        </w:rPr>
        <w:t>ontsleuteld</w:t>
      </w:r>
      <w:proofErr w:type="spellEnd"/>
      <w:r w:rsidR="00C53ADB" w:rsidRPr="00D1138A">
        <w:rPr>
          <w:rFonts w:ascii="Verdana" w:hAnsi="Verdana"/>
          <w:lang w:val="nl-NL"/>
        </w:rPr>
        <w:t>’ en vergeleken met de oorspronkelijke resultaten. Over de analyse wordt gerapporteerd</w:t>
      </w:r>
      <w:r w:rsidR="007A2986">
        <w:rPr>
          <w:rFonts w:ascii="Verdana" w:hAnsi="Verdana"/>
          <w:lang w:val="nl-NL"/>
        </w:rPr>
        <w:t>.</w:t>
      </w:r>
    </w:p>
    <w:p w14:paraId="771D7F92" w14:textId="77777777" w:rsidR="00C53ADB" w:rsidRPr="00D1138A" w:rsidRDefault="00C53ADB" w:rsidP="00C53ADB">
      <w:pPr>
        <w:pStyle w:val="EnvelopeReturn"/>
        <w:rPr>
          <w:rFonts w:ascii="Verdana" w:hAnsi="Verdana"/>
          <w:lang w:val="nl-NL"/>
        </w:rPr>
      </w:pPr>
    </w:p>
    <w:p w14:paraId="41B4079D" w14:textId="77777777" w:rsidR="00BC6D33" w:rsidRPr="00EE7990" w:rsidRDefault="00BC6D33" w:rsidP="00BC6D33">
      <w:pPr>
        <w:pStyle w:val="EnvelopeReturn"/>
        <w:rPr>
          <w:rFonts w:ascii="Verdana" w:hAnsi="Verdana"/>
          <w:u w:val="single"/>
          <w:lang w:val="nl-NL"/>
        </w:rPr>
      </w:pPr>
      <w:bookmarkStart w:id="3" w:name="_Hlk19619640"/>
      <w:r w:rsidRPr="00EE7990">
        <w:rPr>
          <w:rFonts w:ascii="Verdana" w:hAnsi="Verdana"/>
          <w:u w:val="single"/>
          <w:lang w:val="nl-NL"/>
        </w:rPr>
        <w:t>Groepsbemonstering</w:t>
      </w:r>
    </w:p>
    <w:p w14:paraId="3294EA60" w14:textId="77777777" w:rsidR="00D841C4" w:rsidRPr="00D1138A" w:rsidRDefault="00BC6D33" w:rsidP="00D841C4">
      <w:pPr>
        <w:spacing w:after="200"/>
        <w:contextualSpacing/>
        <w:rPr>
          <w:rFonts w:ascii="Verdana" w:hAnsi="Verdana"/>
          <w:lang w:val="nl-NL"/>
        </w:rPr>
      </w:pPr>
      <w:bookmarkStart w:id="4" w:name="_Hlk19619655"/>
      <w:r w:rsidRPr="00D1138A">
        <w:rPr>
          <w:rFonts w:ascii="Verdana" w:hAnsi="Verdana"/>
          <w:lang w:val="nl-NL"/>
        </w:rPr>
        <w:t xml:space="preserve">Bij het plannen van de herhalingskiemkrachten is er de mogelijkheid voor curatoren om gebruik te maken van groepsbemonstering. Accessies worden hierbij gegroepeerd op basis van </w:t>
      </w:r>
      <w:r w:rsidR="007A2986">
        <w:rPr>
          <w:rFonts w:ascii="Verdana" w:hAnsi="Verdana"/>
          <w:lang w:val="nl-NL"/>
        </w:rPr>
        <w:t>soort</w:t>
      </w:r>
      <w:r w:rsidR="007A2986" w:rsidRPr="00D1138A">
        <w:rPr>
          <w:rFonts w:ascii="Verdana" w:hAnsi="Verdana"/>
          <w:lang w:val="nl-NL"/>
        </w:rPr>
        <w:t xml:space="preserve"> </w:t>
      </w:r>
      <w:r w:rsidRPr="00D1138A">
        <w:rPr>
          <w:rFonts w:ascii="Verdana" w:hAnsi="Verdana"/>
          <w:lang w:val="nl-NL"/>
        </w:rPr>
        <w:t>en regeneratiejaar, en uit iedere groep wordt minimaal 25% van de accessies getest. Motivatie hiervoor is dat verwacht wordt dat materiaal van dezelfde soort dat onder dezelfde omstandigheden is geregenereerd en dat dezelfde procedures na oogsten heeft ondergaan, een vergelijkbaar kiemkrachtverloop in de tijd laat zien.</w:t>
      </w:r>
    </w:p>
    <w:bookmarkEnd w:id="3"/>
    <w:bookmarkEnd w:id="4"/>
    <w:p w14:paraId="15F044A3" w14:textId="77777777" w:rsidR="00BC6D33" w:rsidRPr="00D1138A" w:rsidRDefault="00BC6D33" w:rsidP="00D841C4">
      <w:pPr>
        <w:spacing w:after="200"/>
        <w:contextualSpacing/>
        <w:rPr>
          <w:rFonts w:ascii="Verdana" w:eastAsia="Calibri" w:hAnsi="Verdana" w:cs="Calibri"/>
          <w:lang w:val="nl-NL" w:eastAsia="en-US"/>
        </w:rPr>
      </w:pPr>
      <w:r w:rsidRPr="00D1138A">
        <w:rPr>
          <w:rFonts w:ascii="Verdana" w:eastAsia="Calibri" w:hAnsi="Verdana" w:cs="Calibri"/>
          <w:lang w:val="nl-NL" w:eastAsia="en-US"/>
        </w:rPr>
        <w:t>Binnen een groep worden de accessies op volgorde van voorafgaande kiemkrachtuitslag getest, de laagste het eerst.</w:t>
      </w:r>
    </w:p>
    <w:p w14:paraId="3D85D9F0" w14:textId="77777777" w:rsidR="00D841C4" w:rsidRPr="00D1138A" w:rsidRDefault="00D841C4" w:rsidP="00D841C4">
      <w:pPr>
        <w:spacing w:after="200"/>
        <w:contextualSpacing/>
        <w:rPr>
          <w:rFonts w:ascii="Verdana" w:eastAsia="Calibri" w:hAnsi="Verdana" w:cs="Calibri"/>
          <w:lang w:val="nl-NL" w:eastAsia="en-US"/>
        </w:rPr>
      </w:pPr>
      <w:r w:rsidRPr="00D1138A">
        <w:rPr>
          <w:rFonts w:ascii="Verdana" w:eastAsia="Calibri" w:hAnsi="Verdana" w:cs="Calibri"/>
          <w:lang w:val="nl-NL" w:eastAsia="en-US"/>
        </w:rPr>
        <w:t>I</w:t>
      </w:r>
      <w:r w:rsidR="00BC6D33" w:rsidRPr="00D1138A">
        <w:rPr>
          <w:rFonts w:ascii="Verdana" w:eastAsia="Calibri" w:hAnsi="Verdana" w:cs="Calibri"/>
          <w:lang w:val="nl-NL" w:eastAsia="en-US"/>
        </w:rPr>
        <w:t>n het geval dat één of meer accessies uit een groepsbemonstering te laag scoren,</w:t>
      </w:r>
      <w:r w:rsidRPr="00D1138A">
        <w:rPr>
          <w:rFonts w:ascii="Verdana" w:eastAsia="Calibri" w:hAnsi="Verdana" w:cs="Calibri"/>
          <w:lang w:val="nl-NL" w:eastAsia="en-US"/>
        </w:rPr>
        <w:t xml:space="preserve"> wordt</w:t>
      </w:r>
      <w:r w:rsidR="00BC6D33" w:rsidRPr="00D1138A">
        <w:rPr>
          <w:rFonts w:ascii="Verdana" w:eastAsia="Calibri" w:hAnsi="Verdana" w:cs="Calibri"/>
          <w:lang w:val="nl-NL" w:eastAsia="en-US"/>
        </w:rPr>
        <w:t xml:space="preserve"> een vervolg aan de kiemkrachttesten gegeven, beginnend met de volgende 25% van de groep op basis van laagste voorafgaande kiemkracht. In het meest ongunstige geval zal dus de hele groep in vier stappen worden getest. </w:t>
      </w:r>
    </w:p>
    <w:p w14:paraId="530692EB" w14:textId="77777777" w:rsidR="00741E8D" w:rsidRPr="00D1138A" w:rsidRDefault="00741E8D">
      <w:pPr>
        <w:rPr>
          <w:rFonts w:ascii="Verdana" w:hAnsi="Verdana"/>
          <w:b/>
          <w:lang w:val="nl-NL"/>
        </w:rPr>
      </w:pPr>
    </w:p>
    <w:p w14:paraId="3E3F2D31" w14:textId="77777777" w:rsidR="00D556D6" w:rsidRPr="00D1138A" w:rsidRDefault="00D556D6">
      <w:pPr>
        <w:rPr>
          <w:rFonts w:ascii="Verdana" w:hAnsi="Verdana"/>
          <w:b/>
          <w:lang w:val="nl-NL"/>
        </w:rPr>
      </w:pPr>
      <w:r w:rsidRPr="00D1138A">
        <w:rPr>
          <w:rFonts w:ascii="Verdana" w:hAnsi="Verdana"/>
          <w:b/>
          <w:lang w:val="nl-NL"/>
        </w:rPr>
        <w:t>Uitvoering kiemkrachtbepalingen</w:t>
      </w:r>
    </w:p>
    <w:p w14:paraId="18B59941" w14:textId="7C00AA64" w:rsidR="00EB66DA" w:rsidRDefault="00EB66DA" w:rsidP="00D1138A">
      <w:pPr>
        <w:rPr>
          <w:rFonts w:ascii="Verdana" w:hAnsi="Verdana"/>
          <w:lang w:val="nl-NL"/>
        </w:rPr>
      </w:pPr>
      <w:bookmarkStart w:id="5" w:name="_Hlk18333404"/>
      <w:r w:rsidRPr="00D1138A">
        <w:rPr>
          <w:rFonts w:ascii="Verdana" w:hAnsi="Verdana"/>
          <w:lang w:val="nl-NL"/>
        </w:rPr>
        <w:t xml:space="preserve">Voor de uitvoering van kiemkrachtbepalingen worden de </w:t>
      </w:r>
      <w:r w:rsidR="00226A76">
        <w:rPr>
          <w:rFonts w:ascii="Verdana" w:hAnsi="Verdana"/>
          <w:lang w:val="nl-NL"/>
        </w:rPr>
        <w:t>methoden</w:t>
      </w:r>
      <w:r w:rsidRPr="00D1138A">
        <w:rPr>
          <w:rFonts w:ascii="Verdana" w:hAnsi="Verdana"/>
          <w:lang w:val="nl-NL"/>
        </w:rPr>
        <w:t xml:space="preserve"> gevolgd die opgesteld zijn door de verschillende curatoren. </w:t>
      </w:r>
      <w:r>
        <w:rPr>
          <w:rFonts w:ascii="Verdana" w:hAnsi="Verdana"/>
          <w:lang w:val="nl-NL"/>
        </w:rPr>
        <w:t xml:space="preserve">Deze </w:t>
      </w:r>
      <w:r w:rsidR="00226A76">
        <w:rPr>
          <w:rFonts w:ascii="Verdana" w:hAnsi="Verdana"/>
          <w:lang w:val="nl-NL"/>
        </w:rPr>
        <w:t>methoden</w:t>
      </w:r>
      <w:r>
        <w:rPr>
          <w:rFonts w:ascii="Verdana" w:hAnsi="Verdana"/>
          <w:lang w:val="nl-NL"/>
        </w:rPr>
        <w:t xml:space="preserve"> </w:t>
      </w:r>
      <w:r w:rsidR="00083C08">
        <w:rPr>
          <w:rFonts w:ascii="Verdana" w:hAnsi="Verdana"/>
          <w:lang w:val="nl-NL"/>
        </w:rPr>
        <w:t xml:space="preserve">in </w:t>
      </w:r>
      <w:r>
        <w:rPr>
          <w:rFonts w:ascii="Verdana" w:hAnsi="Verdana"/>
          <w:lang w:val="nl-NL"/>
        </w:rPr>
        <w:t>staan</w:t>
      </w:r>
      <w:r w:rsidR="00083C08" w:rsidRPr="00083C08">
        <w:rPr>
          <w:rFonts w:ascii="Verdana" w:hAnsi="Verdana"/>
          <w:lang w:val="nl-NL"/>
        </w:rPr>
        <w:t xml:space="preserve"> </w:t>
      </w:r>
      <w:r w:rsidR="00083C08">
        <w:rPr>
          <w:rFonts w:ascii="Verdana" w:hAnsi="Verdana"/>
          <w:lang w:val="nl-NL"/>
        </w:rPr>
        <w:t>het overzicht Methoden kiemkrachtbepalingen (</w:t>
      </w:r>
      <w:r w:rsidR="0006319B">
        <w:rPr>
          <w:rFonts w:ascii="Verdana" w:hAnsi="Verdana"/>
          <w:lang w:val="nl-NL"/>
        </w:rPr>
        <w:t>OVZ</w:t>
      </w:r>
      <w:r w:rsidR="0006319B" w:rsidRPr="0006319B">
        <w:rPr>
          <w:rFonts w:ascii="Verdana" w:hAnsi="Verdana"/>
          <w:lang w:val="nl-NL"/>
        </w:rPr>
        <w:t>-CGN-PG-301</w:t>
      </w:r>
      <w:r w:rsidR="00083C08">
        <w:rPr>
          <w:rFonts w:ascii="Verdana" w:hAnsi="Verdana"/>
          <w:lang w:val="nl-NL"/>
        </w:rPr>
        <w:t>)</w:t>
      </w:r>
      <w:r>
        <w:rPr>
          <w:rFonts w:ascii="Verdana" w:hAnsi="Verdana"/>
          <w:lang w:val="nl-NL"/>
        </w:rPr>
        <w:t>.</w:t>
      </w:r>
    </w:p>
    <w:p w14:paraId="09C50E09" w14:textId="77777777" w:rsidR="00EB66DA" w:rsidRDefault="00EB66DA" w:rsidP="00D1138A">
      <w:pPr>
        <w:rPr>
          <w:rFonts w:ascii="Verdana" w:hAnsi="Verdana"/>
          <w:lang w:val="nl-NL"/>
        </w:rPr>
      </w:pPr>
      <w:r>
        <w:rPr>
          <w:rFonts w:ascii="Verdana" w:hAnsi="Verdana"/>
          <w:lang w:val="nl-NL"/>
        </w:rPr>
        <w:t xml:space="preserve">In deze tabel staat per gewas de meest gebruikte kiemkrachtmethode vermeld, inclusief het aantal zaden waaraan de kiemkracht gedaan wordt evenals welke kenmerken van de zaden en/of kiemplanten geregistreerd worden. </w:t>
      </w:r>
      <w:r w:rsidR="00A150A9">
        <w:rPr>
          <w:rFonts w:ascii="Verdana" w:hAnsi="Verdana"/>
          <w:lang w:val="nl-NL"/>
        </w:rPr>
        <w:br/>
      </w:r>
      <w:r w:rsidR="00A150A9" w:rsidRPr="00D1138A">
        <w:rPr>
          <w:rFonts w:ascii="Verdana" w:hAnsi="Verdana"/>
          <w:lang w:val="nl-NL"/>
        </w:rPr>
        <w:t xml:space="preserve">Voor het beoordelen van de individuele kiemplanten worden de richtlijnen van de ISTA (International Seed </w:t>
      </w:r>
      <w:proofErr w:type="spellStart"/>
      <w:r w:rsidR="00A150A9" w:rsidRPr="00D1138A">
        <w:rPr>
          <w:rFonts w:ascii="Verdana" w:hAnsi="Verdana"/>
          <w:lang w:val="nl-NL"/>
        </w:rPr>
        <w:t>Testing</w:t>
      </w:r>
      <w:proofErr w:type="spellEnd"/>
      <w:r w:rsidR="00A150A9" w:rsidRPr="00D1138A">
        <w:rPr>
          <w:rFonts w:ascii="Verdana" w:hAnsi="Verdana"/>
          <w:lang w:val="nl-NL"/>
        </w:rPr>
        <w:t xml:space="preserve"> Association) gevolgd.</w:t>
      </w:r>
    </w:p>
    <w:p w14:paraId="67B82451" w14:textId="77777777" w:rsidR="00EB66DA" w:rsidRDefault="00EB66DA" w:rsidP="00D1138A">
      <w:pPr>
        <w:rPr>
          <w:rFonts w:ascii="Verdana" w:hAnsi="Verdana"/>
          <w:lang w:val="nl-NL"/>
        </w:rPr>
      </w:pPr>
    </w:p>
    <w:p w14:paraId="1E562858" w14:textId="77777777" w:rsidR="00EB66DA" w:rsidRDefault="006560F3" w:rsidP="00D1138A">
      <w:pPr>
        <w:rPr>
          <w:rFonts w:ascii="Verdana" w:hAnsi="Verdana"/>
          <w:lang w:val="nl-NL"/>
        </w:rPr>
      </w:pPr>
      <w:r>
        <w:rPr>
          <w:rFonts w:ascii="Verdana" w:hAnsi="Verdana"/>
          <w:lang w:val="nl-NL"/>
        </w:rPr>
        <w:t>Praktische aandachtspunten bij de voorbereiding van de kiemkrachtbepalingen:</w:t>
      </w:r>
    </w:p>
    <w:p w14:paraId="6A56878A" w14:textId="77777777" w:rsidR="006560F3" w:rsidRPr="006560F3" w:rsidRDefault="006560F3" w:rsidP="006560F3">
      <w:pPr>
        <w:pStyle w:val="ListParagraph"/>
        <w:numPr>
          <w:ilvl w:val="0"/>
          <w:numId w:val="33"/>
        </w:numPr>
        <w:rPr>
          <w:rFonts w:ascii="Verdana" w:hAnsi="Verdana"/>
          <w:lang w:val="nl-NL"/>
        </w:rPr>
      </w:pPr>
      <w:r w:rsidRPr="006560F3">
        <w:rPr>
          <w:rFonts w:ascii="Verdana" w:hAnsi="Verdana"/>
          <w:lang w:val="nl-NL"/>
        </w:rPr>
        <w:t xml:space="preserve">Een zaadmonster moet aan de minimum kwaliteitseisen voldoen zoals vermeld in INS-CGN-PG-005. Bij zichtbaar slechte zaadkwaliteit (bruinverkleuring, gebroken- of lege zaden) wordt het nummer opnieuw geschoond. </w:t>
      </w:r>
    </w:p>
    <w:p w14:paraId="149AB597" w14:textId="77777777" w:rsidR="006560F3" w:rsidRPr="00D1138A" w:rsidRDefault="006560F3" w:rsidP="006560F3">
      <w:pPr>
        <w:pStyle w:val="BodyTextIndent2"/>
        <w:numPr>
          <w:ilvl w:val="0"/>
          <w:numId w:val="33"/>
        </w:numPr>
        <w:tabs>
          <w:tab w:val="left" w:pos="851"/>
        </w:tabs>
        <w:rPr>
          <w:rFonts w:ascii="Verdana" w:hAnsi="Verdana"/>
          <w:sz w:val="20"/>
        </w:rPr>
      </w:pPr>
      <w:r w:rsidRPr="00D1138A">
        <w:rPr>
          <w:rFonts w:ascii="Verdana" w:hAnsi="Verdana"/>
          <w:sz w:val="20"/>
        </w:rPr>
        <w:lastRenderedPageBreak/>
        <w:t>Ieder kiemkrachtmonster wordt voorzien van een accessie- of receiptnummer en een veldnummer om verwisseling met andere monsters te voorkomen.</w:t>
      </w:r>
    </w:p>
    <w:p w14:paraId="0E353062" w14:textId="77777777" w:rsidR="00EE7990" w:rsidRPr="000977DC" w:rsidRDefault="00D556D6" w:rsidP="006560F3">
      <w:pPr>
        <w:pStyle w:val="ListParagraph"/>
        <w:numPr>
          <w:ilvl w:val="0"/>
          <w:numId w:val="33"/>
        </w:numPr>
        <w:rPr>
          <w:rFonts w:ascii="Verdana" w:hAnsi="Verdana"/>
          <w:lang w:val="nl-NL"/>
        </w:rPr>
      </w:pPr>
      <w:r w:rsidRPr="006560F3">
        <w:rPr>
          <w:rFonts w:ascii="Verdana" w:hAnsi="Verdana"/>
          <w:lang w:val="nl-NL"/>
        </w:rPr>
        <w:t xml:space="preserve">Minstens één dag voor de aanvang van de kiemkrachtbepalingen moeten de </w:t>
      </w:r>
      <w:r w:rsidR="00CA419E" w:rsidRPr="006560F3">
        <w:rPr>
          <w:rFonts w:ascii="Verdana" w:hAnsi="Verdana"/>
          <w:lang w:val="nl-NL"/>
        </w:rPr>
        <w:t>vacuüm</w:t>
      </w:r>
      <w:r w:rsidR="001E7967" w:rsidRPr="006560F3">
        <w:rPr>
          <w:rFonts w:ascii="Verdana" w:hAnsi="Verdana"/>
          <w:lang w:val="nl-NL"/>
        </w:rPr>
        <w:t xml:space="preserve"> </w:t>
      </w:r>
      <w:r w:rsidRPr="006560F3">
        <w:rPr>
          <w:rFonts w:ascii="Verdana" w:hAnsi="Verdana"/>
          <w:lang w:val="nl-NL"/>
        </w:rPr>
        <w:t>zaadzakjes worden geopend en verder onder kameromstandigheden worden bewaard</w:t>
      </w:r>
      <w:r w:rsidR="00CA419E" w:rsidRPr="006560F3">
        <w:rPr>
          <w:rFonts w:ascii="Verdana" w:hAnsi="Verdana"/>
          <w:lang w:val="nl-NL"/>
        </w:rPr>
        <w:t xml:space="preserve"> zodat de zaden alvast wat vocht op </w:t>
      </w:r>
      <w:r w:rsidR="00CA419E" w:rsidRPr="005872EA">
        <w:rPr>
          <w:rFonts w:ascii="Verdana" w:hAnsi="Verdana"/>
          <w:lang w:val="nl-NL"/>
        </w:rPr>
        <w:t>kunnen nemen</w:t>
      </w:r>
      <w:r w:rsidRPr="005872EA">
        <w:rPr>
          <w:rFonts w:ascii="Verdana" w:hAnsi="Verdana"/>
          <w:lang w:val="nl-NL"/>
        </w:rPr>
        <w:t>.</w:t>
      </w:r>
    </w:p>
    <w:p w14:paraId="298DE0DE" w14:textId="77777777" w:rsidR="00EE7990" w:rsidRPr="005872EA" w:rsidRDefault="00EE7990" w:rsidP="00D1138A">
      <w:pPr>
        <w:rPr>
          <w:rFonts w:ascii="Verdana" w:hAnsi="Verdana"/>
          <w:lang w:val="nl-NL"/>
        </w:rPr>
      </w:pPr>
    </w:p>
    <w:p w14:paraId="42F86024" w14:textId="77777777" w:rsidR="005476C4" w:rsidRPr="005872EA" w:rsidRDefault="005872EA" w:rsidP="00D1138A">
      <w:pPr>
        <w:rPr>
          <w:rFonts w:ascii="Verdana" w:hAnsi="Verdana"/>
          <w:b/>
          <w:lang w:val="nl-NL"/>
        </w:rPr>
      </w:pPr>
      <w:r w:rsidRPr="005872EA">
        <w:rPr>
          <w:rFonts w:ascii="Verdana" w:hAnsi="Verdana"/>
          <w:b/>
          <w:lang w:val="nl-NL"/>
        </w:rPr>
        <w:t>Registratie</w:t>
      </w:r>
      <w:r w:rsidR="00BF400C">
        <w:rPr>
          <w:rFonts w:ascii="Verdana" w:hAnsi="Verdana"/>
          <w:b/>
          <w:lang w:val="nl-NL"/>
        </w:rPr>
        <w:t xml:space="preserve"> en beoordeling</w:t>
      </w:r>
      <w:r w:rsidRPr="005872EA">
        <w:rPr>
          <w:rFonts w:ascii="Verdana" w:hAnsi="Verdana"/>
          <w:b/>
          <w:lang w:val="nl-NL"/>
        </w:rPr>
        <w:t xml:space="preserve"> kiemkrachtbepalingen</w:t>
      </w:r>
    </w:p>
    <w:p w14:paraId="4D8D2775" w14:textId="77777777" w:rsidR="005872EA" w:rsidRPr="005872EA" w:rsidRDefault="005872EA" w:rsidP="00D1138A">
      <w:pPr>
        <w:rPr>
          <w:rFonts w:ascii="Verdana" w:hAnsi="Verdana"/>
          <w:lang w:val="nl-NL"/>
        </w:rPr>
      </w:pPr>
    </w:p>
    <w:p w14:paraId="3B2FA04D" w14:textId="77777777" w:rsidR="005872EA" w:rsidRPr="005872EA" w:rsidRDefault="005872EA" w:rsidP="005872EA">
      <w:pPr>
        <w:pStyle w:val="EnvelopeReturn"/>
        <w:rPr>
          <w:rFonts w:ascii="Verdana" w:hAnsi="Verdana"/>
          <w:lang w:val="nl-NL"/>
        </w:rPr>
      </w:pPr>
      <w:r w:rsidRPr="005872EA">
        <w:rPr>
          <w:rFonts w:ascii="Verdana" w:hAnsi="Verdana"/>
          <w:lang w:val="nl-NL"/>
        </w:rPr>
        <w:t xml:space="preserve">De resultaten van de kiemkrachtbepalingen worden ingevoerd in Excel. Dit bestand bevat de </w:t>
      </w:r>
      <w:r w:rsidRPr="00A85428">
        <w:rPr>
          <w:rFonts w:ascii="Verdana" w:hAnsi="Verdana"/>
          <w:lang w:val="nl-NL"/>
        </w:rPr>
        <w:t>accessienummers, de gebruikte kiemkrachtmethode en eventueel de kiemkrachtpercentages.</w:t>
      </w:r>
      <w:r w:rsidR="00A85428" w:rsidRPr="00A85428">
        <w:rPr>
          <w:rFonts w:ascii="Verdana" w:hAnsi="Verdana"/>
          <w:lang w:val="nl-NL"/>
        </w:rPr>
        <w:t xml:space="preserve"> </w:t>
      </w:r>
      <w:r w:rsidRPr="00A85428">
        <w:rPr>
          <w:rFonts w:ascii="Verdana" w:hAnsi="Verdana"/>
          <w:lang w:val="nl-NL"/>
        </w:rPr>
        <w:t>Gebaseerd op</w:t>
      </w:r>
      <w:r w:rsidRPr="005872EA">
        <w:rPr>
          <w:rFonts w:ascii="Verdana" w:hAnsi="Verdana"/>
          <w:lang w:val="nl-NL"/>
        </w:rPr>
        <w:t xml:space="preserve"> zowel de kiemkracht als een visuele beoordeling van de zaailingen wordt er een definitieve score gegeven. Deze laatste score zal bepalend zijn voor de verdere behandeling van het monster.</w:t>
      </w:r>
    </w:p>
    <w:p w14:paraId="2D2579EC" w14:textId="77777777" w:rsidR="005872EA" w:rsidRPr="005872EA" w:rsidRDefault="005872EA" w:rsidP="005872EA">
      <w:pPr>
        <w:pStyle w:val="EnvelopeReturn"/>
        <w:rPr>
          <w:rFonts w:ascii="Verdana" w:hAnsi="Verdana"/>
          <w:lang w:val="nl-NL"/>
        </w:rPr>
      </w:pPr>
      <w:r w:rsidRPr="005872EA">
        <w:rPr>
          <w:rFonts w:ascii="Verdana" w:hAnsi="Verdana"/>
          <w:lang w:val="nl-NL"/>
        </w:rPr>
        <w:br/>
        <w:t>De volgende scores kunnen gegeven worden:</w:t>
      </w:r>
      <w:r w:rsidRPr="005872EA">
        <w:rPr>
          <w:rFonts w:ascii="Verdana" w:hAnsi="Verdana"/>
          <w:lang w:val="nl-NL"/>
        </w:rPr>
        <w:br/>
      </w:r>
    </w:p>
    <w:p w14:paraId="11C3254F" w14:textId="77777777" w:rsidR="005872EA" w:rsidRPr="005872EA" w:rsidRDefault="005872EA" w:rsidP="005872EA">
      <w:pPr>
        <w:pStyle w:val="EnvelopeReturn"/>
        <w:numPr>
          <w:ilvl w:val="0"/>
          <w:numId w:val="34"/>
        </w:numPr>
        <w:rPr>
          <w:rFonts w:ascii="Verdana" w:hAnsi="Verdana"/>
          <w:lang w:val="nl-NL"/>
        </w:rPr>
      </w:pPr>
      <w:r w:rsidRPr="005872EA">
        <w:rPr>
          <w:rFonts w:ascii="Verdana" w:hAnsi="Verdana"/>
          <w:lang w:val="nl-NL"/>
        </w:rPr>
        <w:t>De zaden zitten onder de minimale kiemkrachteis (80% of 60%) en/of vertonen sterke verouderingsverschijnselen en moeten zo snel mogelijk vermeerderd worden.</w:t>
      </w:r>
    </w:p>
    <w:p w14:paraId="067B019F" w14:textId="77777777" w:rsidR="005872EA" w:rsidRPr="005872EA" w:rsidRDefault="005872EA" w:rsidP="005872EA">
      <w:pPr>
        <w:pStyle w:val="EnvelopeReturn"/>
        <w:ind w:left="709" w:hanging="349"/>
        <w:rPr>
          <w:rFonts w:ascii="Verdana" w:hAnsi="Verdana"/>
          <w:lang w:val="nl-NL"/>
        </w:rPr>
      </w:pPr>
      <w:r w:rsidRPr="005872EA">
        <w:rPr>
          <w:rFonts w:ascii="Verdana" w:hAnsi="Verdana"/>
          <w:lang w:val="nl-NL"/>
        </w:rPr>
        <w:t>3.</w:t>
      </w:r>
      <w:r w:rsidRPr="005872EA">
        <w:rPr>
          <w:rFonts w:ascii="Verdana" w:hAnsi="Verdana"/>
          <w:lang w:val="nl-NL"/>
        </w:rPr>
        <w:tab/>
        <w:t>De zaden zitten rond de minimale kiemkrachteis of zakken er waarschijnlijk binnenkort onder en/of vertonen matige tot sterke verouderingsverschijnselen; de zaden moeten binnen enkele jaren vermeerderd worden.</w:t>
      </w:r>
    </w:p>
    <w:p w14:paraId="37F9F3E6" w14:textId="77777777" w:rsidR="005872EA" w:rsidRPr="005872EA" w:rsidRDefault="005872EA" w:rsidP="005872EA">
      <w:pPr>
        <w:pStyle w:val="EnvelopeReturn"/>
        <w:ind w:left="709" w:hanging="349"/>
        <w:rPr>
          <w:rFonts w:ascii="Verdana" w:hAnsi="Verdana"/>
          <w:lang w:val="nl-NL"/>
        </w:rPr>
      </w:pPr>
      <w:r w:rsidRPr="005872EA">
        <w:rPr>
          <w:rFonts w:ascii="Verdana" w:hAnsi="Verdana"/>
          <w:lang w:val="nl-NL"/>
        </w:rPr>
        <w:t>2.</w:t>
      </w:r>
      <w:r w:rsidRPr="005872EA">
        <w:rPr>
          <w:rFonts w:ascii="Verdana" w:hAnsi="Verdana"/>
          <w:lang w:val="nl-NL"/>
        </w:rPr>
        <w:tab/>
        <w:t xml:space="preserve">De zaden zijn nog voldoende kiemkrachtig, maar vertonen lichte verouderingsverschijnselen en/of gaan richting de minimale kiemkrachteis; er wordt geadviseerd de volgende kiemkrachtbepaling te vervroegen. </w:t>
      </w:r>
    </w:p>
    <w:p w14:paraId="0B0E8ECE" w14:textId="77777777" w:rsidR="005872EA" w:rsidRPr="005872EA" w:rsidRDefault="005872EA" w:rsidP="005872EA">
      <w:pPr>
        <w:pStyle w:val="EnvelopeReturn"/>
        <w:numPr>
          <w:ilvl w:val="0"/>
          <w:numId w:val="35"/>
        </w:numPr>
        <w:rPr>
          <w:rFonts w:ascii="Verdana" w:hAnsi="Verdana"/>
          <w:lang w:val="nl-NL"/>
        </w:rPr>
      </w:pPr>
      <w:r w:rsidRPr="005872EA">
        <w:rPr>
          <w:rFonts w:ascii="Verdana" w:hAnsi="Verdana"/>
          <w:lang w:val="nl-NL"/>
        </w:rPr>
        <w:t xml:space="preserve">De kiemkracht zit ruim boven de minimale kiemkrachteis. De zaden zijn zeer kiemkrachtig en geven mooie sterke kiemplanten. </w:t>
      </w:r>
    </w:p>
    <w:p w14:paraId="48893CEB" w14:textId="77777777" w:rsidR="005872EA" w:rsidRPr="005872EA" w:rsidRDefault="005872EA" w:rsidP="005872EA">
      <w:pPr>
        <w:pStyle w:val="EnvelopeReturn"/>
        <w:numPr>
          <w:ilvl w:val="0"/>
          <w:numId w:val="36"/>
        </w:numPr>
        <w:rPr>
          <w:rFonts w:ascii="Verdana" w:hAnsi="Verdana"/>
          <w:lang w:val="nl-NL"/>
        </w:rPr>
      </w:pPr>
      <w:r w:rsidRPr="005872EA">
        <w:rPr>
          <w:rFonts w:ascii="Verdana" w:hAnsi="Verdana"/>
          <w:lang w:val="nl-NL"/>
        </w:rPr>
        <w:t xml:space="preserve">Score gegeven bij een groepsbemonstering als de andere accessies binnen de groep een score 1 gescoord hebben. </w:t>
      </w:r>
    </w:p>
    <w:p w14:paraId="53F2D32B" w14:textId="77777777" w:rsidR="005872EA" w:rsidRPr="005872EA" w:rsidRDefault="005872EA" w:rsidP="005872EA">
      <w:pPr>
        <w:pStyle w:val="EnvelopeReturn"/>
        <w:rPr>
          <w:rFonts w:ascii="Verdana" w:hAnsi="Verdana"/>
          <w:lang w:val="nl-NL"/>
        </w:rPr>
      </w:pPr>
    </w:p>
    <w:p w14:paraId="259C039F" w14:textId="77777777" w:rsidR="00BF400C" w:rsidRDefault="00BF400C" w:rsidP="005872EA">
      <w:pPr>
        <w:rPr>
          <w:rFonts w:ascii="Verdana" w:hAnsi="Verdana"/>
          <w:b/>
          <w:lang w:val="nl-NL"/>
        </w:rPr>
      </w:pPr>
      <w:r w:rsidRPr="00BF400C">
        <w:rPr>
          <w:rFonts w:ascii="Verdana" w:hAnsi="Verdana"/>
          <w:b/>
          <w:lang w:val="nl-NL"/>
        </w:rPr>
        <w:t>Follow-up kiemkrachtbepalingen</w:t>
      </w:r>
    </w:p>
    <w:p w14:paraId="6D43ACEC" w14:textId="77777777" w:rsidR="00B87935" w:rsidRDefault="00B87935" w:rsidP="005872EA">
      <w:pPr>
        <w:rPr>
          <w:rFonts w:ascii="Verdana" w:hAnsi="Verdana"/>
          <w:b/>
          <w:lang w:val="nl-NL"/>
        </w:rPr>
      </w:pPr>
    </w:p>
    <w:p w14:paraId="584DC27C" w14:textId="77777777" w:rsidR="005872EA" w:rsidRPr="00BF400C" w:rsidRDefault="00F73C05" w:rsidP="00BF400C">
      <w:pPr>
        <w:pStyle w:val="ListParagraph"/>
        <w:numPr>
          <w:ilvl w:val="0"/>
          <w:numId w:val="37"/>
        </w:numPr>
        <w:rPr>
          <w:rFonts w:ascii="Verdana" w:hAnsi="Verdana"/>
          <w:lang w:val="nl-NL"/>
        </w:rPr>
      </w:pPr>
      <w:r>
        <w:rPr>
          <w:rFonts w:ascii="Verdana" w:hAnsi="Verdana"/>
          <w:lang w:val="nl-NL"/>
        </w:rPr>
        <w:t xml:space="preserve">Score 1 (goed) bij </w:t>
      </w:r>
      <w:r w:rsidR="005872EA" w:rsidRPr="00BF400C">
        <w:rPr>
          <w:rFonts w:ascii="Verdana" w:hAnsi="Verdana"/>
          <w:lang w:val="nl-NL"/>
        </w:rPr>
        <w:t>aanvangskiemkracht (A)</w:t>
      </w:r>
      <w:r>
        <w:rPr>
          <w:rFonts w:ascii="Verdana" w:hAnsi="Verdana"/>
          <w:lang w:val="nl-NL"/>
        </w:rPr>
        <w:t xml:space="preserve">: </w:t>
      </w:r>
      <w:r w:rsidR="005872EA" w:rsidRPr="00BF400C">
        <w:rPr>
          <w:rFonts w:ascii="Verdana" w:hAnsi="Verdana"/>
          <w:lang w:val="nl-NL"/>
        </w:rPr>
        <w:t xml:space="preserve">advies om de kiemkracht nogmaals te testen na 25 jaar. </w:t>
      </w:r>
    </w:p>
    <w:p w14:paraId="3A2AE67D" w14:textId="77777777" w:rsidR="005872EA" w:rsidRPr="00BF400C" w:rsidRDefault="00F73C05" w:rsidP="00BF400C">
      <w:pPr>
        <w:pStyle w:val="ListParagraph"/>
        <w:numPr>
          <w:ilvl w:val="0"/>
          <w:numId w:val="37"/>
        </w:numPr>
        <w:rPr>
          <w:rFonts w:ascii="Verdana" w:hAnsi="Verdana"/>
          <w:lang w:val="nl-NL"/>
        </w:rPr>
      </w:pPr>
      <w:r>
        <w:rPr>
          <w:rFonts w:ascii="Verdana" w:hAnsi="Verdana"/>
          <w:lang w:val="nl-NL"/>
        </w:rPr>
        <w:t>Score 1 (goed) bij herhalingskiemkracht (H):</w:t>
      </w:r>
      <w:r w:rsidR="005872EA" w:rsidRPr="00BF400C">
        <w:rPr>
          <w:rFonts w:ascii="Verdana" w:hAnsi="Verdana"/>
          <w:lang w:val="nl-NL"/>
        </w:rPr>
        <w:t xml:space="preserve"> advies om de kiemkracht nogmaals te testen na 10 of 20 jaar, afhankelijk van het gewas, zie </w:t>
      </w:r>
      <w:r w:rsidR="00BF400C" w:rsidRPr="00BF400C">
        <w:rPr>
          <w:rFonts w:ascii="Verdana" w:hAnsi="Verdana"/>
          <w:lang w:val="nl-NL"/>
        </w:rPr>
        <w:t>eerdere informatie in dit document</w:t>
      </w:r>
      <w:r w:rsidR="005872EA" w:rsidRPr="00BF400C">
        <w:rPr>
          <w:rFonts w:ascii="Verdana" w:hAnsi="Verdana"/>
          <w:lang w:val="nl-NL"/>
        </w:rPr>
        <w:t>.</w:t>
      </w:r>
    </w:p>
    <w:p w14:paraId="1AD92247" w14:textId="77777777" w:rsidR="005872EA" w:rsidRPr="00BF400C" w:rsidRDefault="00F73C05" w:rsidP="00BF400C">
      <w:pPr>
        <w:pStyle w:val="ListParagraph"/>
        <w:numPr>
          <w:ilvl w:val="0"/>
          <w:numId w:val="37"/>
        </w:numPr>
        <w:rPr>
          <w:rFonts w:ascii="Verdana" w:hAnsi="Verdana"/>
          <w:lang w:val="nl-NL"/>
        </w:rPr>
      </w:pPr>
      <w:r>
        <w:rPr>
          <w:rFonts w:ascii="Verdana" w:hAnsi="Verdana"/>
          <w:lang w:val="nl-NL"/>
        </w:rPr>
        <w:t>Score 2 (voldoende):</w:t>
      </w:r>
      <w:r w:rsidR="005872EA" w:rsidRPr="00BF400C">
        <w:rPr>
          <w:rFonts w:ascii="Verdana" w:hAnsi="Verdana"/>
          <w:lang w:val="nl-NL"/>
        </w:rPr>
        <w:t xml:space="preserve"> advies om de kiemkracht nogmaals te testen na 5 jaar. Dit geldt zowel voor herhalingskiemkrachten als aanvangskiemkrachten.</w:t>
      </w:r>
    </w:p>
    <w:p w14:paraId="1704C19B" w14:textId="77777777" w:rsidR="005872EA" w:rsidRDefault="00F73C05" w:rsidP="00BF400C">
      <w:pPr>
        <w:pStyle w:val="EnvelopeReturn"/>
        <w:numPr>
          <w:ilvl w:val="0"/>
          <w:numId w:val="37"/>
        </w:numPr>
        <w:rPr>
          <w:rFonts w:ascii="Verdana" w:hAnsi="Verdana"/>
          <w:lang w:val="nl-NL"/>
        </w:rPr>
      </w:pPr>
      <w:r>
        <w:rPr>
          <w:rFonts w:ascii="Verdana" w:hAnsi="Verdana"/>
          <w:lang w:val="nl-NL"/>
        </w:rPr>
        <w:t xml:space="preserve">Score 3 of 4 (onvoldoende) bij </w:t>
      </w:r>
      <w:r w:rsidR="005872EA" w:rsidRPr="005872EA">
        <w:rPr>
          <w:rFonts w:ascii="Verdana" w:hAnsi="Verdana"/>
          <w:lang w:val="nl-NL"/>
        </w:rPr>
        <w:t>herhalingskiemkracht (H)</w:t>
      </w:r>
      <w:r>
        <w:rPr>
          <w:rFonts w:ascii="Verdana" w:hAnsi="Verdana"/>
          <w:lang w:val="nl-NL"/>
        </w:rPr>
        <w:t>: opnieuw bepalen van</w:t>
      </w:r>
      <w:r w:rsidR="005872EA" w:rsidRPr="005872EA">
        <w:rPr>
          <w:rFonts w:ascii="Verdana" w:hAnsi="Verdana"/>
          <w:lang w:val="nl-NL"/>
        </w:rPr>
        <w:t xml:space="preserve"> de kiemkracht. Is de score weer onvoldoende, </w:t>
      </w:r>
      <w:r w:rsidR="00354225">
        <w:rPr>
          <w:rFonts w:ascii="Verdana" w:hAnsi="Verdana"/>
          <w:lang w:val="nl-NL"/>
        </w:rPr>
        <w:t xml:space="preserve">en het zaad is wel goed geschoond, </w:t>
      </w:r>
      <w:r w:rsidR="005872EA" w:rsidRPr="005872EA">
        <w:rPr>
          <w:rFonts w:ascii="Verdana" w:hAnsi="Verdana"/>
          <w:lang w:val="nl-NL"/>
        </w:rPr>
        <w:t>dan wordt er een vermeerdering gepland.</w:t>
      </w:r>
    </w:p>
    <w:p w14:paraId="2C84198C" w14:textId="77777777" w:rsidR="00B87935" w:rsidRPr="00B87935" w:rsidRDefault="00F73C05" w:rsidP="00B87935">
      <w:pPr>
        <w:pStyle w:val="EnvelopeReturn"/>
        <w:numPr>
          <w:ilvl w:val="0"/>
          <w:numId w:val="37"/>
        </w:numPr>
        <w:rPr>
          <w:rFonts w:ascii="Verdana" w:hAnsi="Verdana"/>
          <w:lang w:val="nl-NL"/>
        </w:rPr>
      </w:pPr>
      <w:r w:rsidRPr="00B87935">
        <w:rPr>
          <w:rFonts w:ascii="Verdana" w:hAnsi="Verdana"/>
          <w:lang w:val="nl-NL"/>
        </w:rPr>
        <w:lastRenderedPageBreak/>
        <w:t xml:space="preserve">Score 3 of 4 (onvoldoende) bij </w:t>
      </w:r>
      <w:r w:rsidR="005872EA" w:rsidRPr="00B87935">
        <w:rPr>
          <w:rFonts w:ascii="Verdana" w:hAnsi="Verdana"/>
          <w:lang w:val="nl-NL"/>
        </w:rPr>
        <w:t>aanvangskiemkracht (A)</w:t>
      </w:r>
      <w:r w:rsidRPr="00B87935">
        <w:rPr>
          <w:rFonts w:ascii="Verdana" w:hAnsi="Verdana"/>
          <w:lang w:val="nl-NL"/>
        </w:rPr>
        <w:t>: opnieuw bepalen van de kiemkracht.</w:t>
      </w:r>
      <w:r w:rsidR="005872EA" w:rsidRPr="00B87935">
        <w:rPr>
          <w:rFonts w:ascii="Verdana" w:hAnsi="Verdana"/>
          <w:lang w:val="nl-NL"/>
        </w:rPr>
        <w:t xml:space="preserve"> Blijft de uitslag onder de afgesproken norm dan word</w:t>
      </w:r>
      <w:r w:rsidR="00354225">
        <w:rPr>
          <w:rFonts w:ascii="Verdana" w:hAnsi="Verdana"/>
          <w:lang w:val="nl-NL"/>
        </w:rPr>
        <w:t xml:space="preserve">en onderstaande stappen </w:t>
      </w:r>
      <w:r w:rsidR="008946CB">
        <w:rPr>
          <w:rFonts w:ascii="Verdana" w:hAnsi="Verdana"/>
          <w:lang w:val="nl-NL"/>
        </w:rPr>
        <w:t>doorlopen</w:t>
      </w:r>
      <w:r w:rsidR="00B87935" w:rsidRPr="00B87935">
        <w:rPr>
          <w:rFonts w:ascii="Verdana" w:hAnsi="Verdana"/>
          <w:lang w:val="nl-NL"/>
        </w:rPr>
        <w:t>.</w:t>
      </w:r>
      <w:r w:rsidR="005872EA" w:rsidRPr="00B87935">
        <w:rPr>
          <w:rFonts w:ascii="Verdana" w:hAnsi="Verdana"/>
          <w:lang w:val="nl-NL"/>
        </w:rPr>
        <w:t xml:space="preserve"> </w:t>
      </w:r>
      <w:bookmarkEnd w:id="5"/>
    </w:p>
    <w:p w14:paraId="62D4D936" w14:textId="77777777" w:rsidR="00B87935" w:rsidRDefault="00B87935" w:rsidP="00B87935">
      <w:pPr>
        <w:pStyle w:val="EnvelopeReturn"/>
        <w:rPr>
          <w:rFonts w:ascii="Verdana" w:hAnsi="Verdana"/>
          <w:lang w:val="nl-NL"/>
        </w:rPr>
      </w:pPr>
    </w:p>
    <w:p w14:paraId="1A9DE627" w14:textId="77777777" w:rsidR="00935A66" w:rsidRDefault="00935A66" w:rsidP="00346DFD">
      <w:pPr>
        <w:pStyle w:val="BodyText"/>
        <w:tabs>
          <w:tab w:val="left" w:pos="709"/>
          <w:tab w:val="left" w:pos="1065"/>
        </w:tabs>
        <w:rPr>
          <w:rFonts w:ascii="Verdana" w:hAnsi="Verdana"/>
          <w:sz w:val="20"/>
          <w:u w:val="none"/>
        </w:rPr>
      </w:pPr>
      <w:r>
        <w:rPr>
          <w:rFonts w:ascii="Verdana" w:hAnsi="Verdana"/>
          <w:sz w:val="20"/>
          <w:u w:val="none"/>
        </w:rPr>
        <w:t>Kiemkrachtresultaten onder de norm</w:t>
      </w:r>
    </w:p>
    <w:p w14:paraId="36933179" w14:textId="77777777" w:rsidR="00354225" w:rsidRDefault="00354225" w:rsidP="00354225">
      <w:pPr>
        <w:pStyle w:val="BodyText"/>
        <w:tabs>
          <w:tab w:val="left" w:pos="709"/>
          <w:tab w:val="left" w:pos="1065"/>
        </w:tabs>
        <w:rPr>
          <w:rFonts w:ascii="Verdana" w:hAnsi="Verdana"/>
          <w:b w:val="0"/>
          <w:sz w:val="20"/>
          <w:u w:val="none"/>
        </w:rPr>
      </w:pPr>
      <w:r w:rsidRPr="00354225">
        <w:rPr>
          <w:rFonts w:ascii="Verdana" w:hAnsi="Verdana"/>
          <w:b w:val="0"/>
          <w:sz w:val="20"/>
          <w:u w:val="none"/>
        </w:rPr>
        <w:t xml:space="preserve">Blijft de uitslag </w:t>
      </w:r>
      <w:r>
        <w:rPr>
          <w:rFonts w:ascii="Verdana" w:hAnsi="Verdana"/>
          <w:b w:val="0"/>
          <w:sz w:val="20"/>
          <w:u w:val="none"/>
        </w:rPr>
        <w:t xml:space="preserve">van een aanvangskiemkracht </w:t>
      </w:r>
      <w:r w:rsidRPr="00354225">
        <w:rPr>
          <w:rFonts w:ascii="Verdana" w:hAnsi="Verdana"/>
          <w:b w:val="0"/>
          <w:sz w:val="20"/>
          <w:u w:val="none"/>
        </w:rPr>
        <w:t>onder de afgesproken norm dan word</w:t>
      </w:r>
      <w:r>
        <w:rPr>
          <w:rFonts w:ascii="Verdana" w:hAnsi="Verdana"/>
          <w:b w:val="0"/>
          <w:sz w:val="20"/>
          <w:u w:val="none"/>
        </w:rPr>
        <w:t xml:space="preserve">en </w:t>
      </w:r>
      <w:r w:rsidR="00B13FB7">
        <w:rPr>
          <w:rFonts w:ascii="Verdana" w:hAnsi="Verdana"/>
          <w:b w:val="0"/>
          <w:sz w:val="20"/>
          <w:u w:val="none"/>
        </w:rPr>
        <w:t xml:space="preserve">achtereenvolgens </w:t>
      </w:r>
      <w:r>
        <w:rPr>
          <w:rFonts w:ascii="Verdana" w:hAnsi="Verdana"/>
          <w:b w:val="0"/>
          <w:sz w:val="20"/>
          <w:u w:val="none"/>
        </w:rPr>
        <w:t>onderstaande stappen doorlopen.</w:t>
      </w:r>
    </w:p>
    <w:p w14:paraId="47DDB77D" w14:textId="77777777" w:rsidR="00354225" w:rsidRPr="000D53C7" w:rsidRDefault="00354225" w:rsidP="00354225">
      <w:pPr>
        <w:pStyle w:val="BodyText"/>
        <w:tabs>
          <w:tab w:val="left" w:pos="709"/>
          <w:tab w:val="left" w:pos="1065"/>
        </w:tabs>
        <w:rPr>
          <w:rFonts w:ascii="Verdana" w:hAnsi="Verdana"/>
          <w:b w:val="0"/>
          <w:sz w:val="20"/>
          <w:u w:val="none"/>
        </w:rPr>
      </w:pPr>
    </w:p>
    <w:p w14:paraId="1FD509A8" w14:textId="77777777" w:rsidR="00935A66" w:rsidRPr="000D53C7" w:rsidRDefault="00935A66" w:rsidP="002C43A1">
      <w:pPr>
        <w:pStyle w:val="BodyText"/>
        <w:numPr>
          <w:ilvl w:val="0"/>
          <w:numId w:val="38"/>
        </w:numPr>
        <w:tabs>
          <w:tab w:val="left" w:pos="709"/>
          <w:tab w:val="left" w:pos="1065"/>
        </w:tabs>
        <w:rPr>
          <w:rFonts w:ascii="Verdana" w:hAnsi="Verdana"/>
          <w:b w:val="0"/>
          <w:sz w:val="20"/>
          <w:u w:val="none"/>
        </w:rPr>
      </w:pPr>
      <w:proofErr w:type="spellStart"/>
      <w:r w:rsidRPr="000D53C7">
        <w:rPr>
          <w:rFonts w:ascii="Verdana" w:hAnsi="Verdana"/>
          <w:b w:val="0"/>
          <w:sz w:val="20"/>
        </w:rPr>
        <w:t>Zaadschoning</w:t>
      </w:r>
      <w:proofErr w:type="spellEnd"/>
      <w:r w:rsidR="002C43A1" w:rsidRPr="000D53C7">
        <w:rPr>
          <w:rFonts w:ascii="Verdana" w:hAnsi="Verdana"/>
          <w:b w:val="0"/>
          <w:sz w:val="20"/>
        </w:rPr>
        <w:br/>
      </w:r>
      <w:r w:rsidR="002C43A1" w:rsidRPr="000D53C7">
        <w:rPr>
          <w:rFonts w:ascii="Verdana" w:hAnsi="Verdana"/>
          <w:b w:val="0"/>
          <w:sz w:val="20"/>
          <w:u w:val="none"/>
        </w:rPr>
        <w:t xml:space="preserve">Er </w:t>
      </w:r>
      <w:r w:rsidRPr="000D53C7">
        <w:rPr>
          <w:rFonts w:ascii="Verdana" w:hAnsi="Verdana"/>
          <w:b w:val="0"/>
          <w:sz w:val="20"/>
          <w:u w:val="none"/>
        </w:rPr>
        <w:t xml:space="preserve">wordt nagegaan of het zaadmateriaal voldoende geschoond is. Is dit niet het geval, dan wordt het zaadmateriaal verder geschoond. Zie hiervoor de </w:t>
      </w:r>
      <w:proofErr w:type="spellStart"/>
      <w:r w:rsidRPr="000D53C7">
        <w:rPr>
          <w:rFonts w:ascii="Verdana" w:hAnsi="Verdana"/>
          <w:b w:val="0"/>
          <w:sz w:val="20"/>
          <w:u w:val="none"/>
        </w:rPr>
        <w:t>schoningsprotocollen</w:t>
      </w:r>
      <w:proofErr w:type="spellEnd"/>
      <w:r w:rsidRPr="000D53C7">
        <w:rPr>
          <w:rFonts w:ascii="Verdana" w:hAnsi="Verdana"/>
          <w:b w:val="0"/>
          <w:sz w:val="20"/>
          <w:u w:val="none"/>
        </w:rPr>
        <w:t xml:space="preserve"> PRT-CGN-PG-201 en PRT-CGN-PG-202. </w:t>
      </w:r>
    </w:p>
    <w:p w14:paraId="4AE0444D" w14:textId="77777777" w:rsidR="00935A66" w:rsidRPr="000D53C7" w:rsidRDefault="00935A66" w:rsidP="00935A66">
      <w:pPr>
        <w:pStyle w:val="BodyText"/>
        <w:tabs>
          <w:tab w:val="left" w:pos="709"/>
          <w:tab w:val="left" w:pos="1065"/>
        </w:tabs>
        <w:rPr>
          <w:rFonts w:ascii="Verdana" w:hAnsi="Verdana"/>
          <w:b w:val="0"/>
          <w:sz w:val="20"/>
          <w:u w:val="none"/>
        </w:rPr>
      </w:pPr>
    </w:p>
    <w:p w14:paraId="18A928C0" w14:textId="77777777" w:rsidR="00346DFD" w:rsidRPr="000D53C7" w:rsidRDefault="00935A66" w:rsidP="008946CB">
      <w:pPr>
        <w:pStyle w:val="BodyText"/>
        <w:numPr>
          <w:ilvl w:val="0"/>
          <w:numId w:val="38"/>
        </w:numPr>
        <w:tabs>
          <w:tab w:val="left" w:pos="709"/>
          <w:tab w:val="left" w:pos="1065"/>
        </w:tabs>
        <w:rPr>
          <w:rFonts w:ascii="Verdana" w:hAnsi="Verdana"/>
          <w:b w:val="0"/>
        </w:rPr>
      </w:pPr>
      <w:r w:rsidRPr="000D53C7">
        <w:rPr>
          <w:rFonts w:ascii="Verdana" w:hAnsi="Verdana"/>
          <w:b w:val="0"/>
          <w:sz w:val="20"/>
        </w:rPr>
        <w:t>Kiemrust</w:t>
      </w:r>
      <w:r w:rsidR="00B13FB7" w:rsidRPr="000D53C7">
        <w:rPr>
          <w:rFonts w:ascii="Verdana" w:hAnsi="Verdana"/>
          <w:b w:val="0"/>
          <w:sz w:val="20"/>
        </w:rPr>
        <w:br/>
      </w:r>
      <w:r w:rsidR="00346DFD" w:rsidRPr="000D53C7">
        <w:rPr>
          <w:rFonts w:ascii="Verdana" w:hAnsi="Verdana"/>
          <w:b w:val="0"/>
          <w:sz w:val="20"/>
          <w:u w:val="none"/>
        </w:rPr>
        <w:t>Indien de curator verwacht dat het materiaal kiemrust zal vertonen (bijvoorbeeld bij wild materiaal), wordt nagegaan of het materiaal op een andere wijze tot kiemen kan worden gebracht.</w:t>
      </w:r>
      <w:r w:rsidR="009755FF" w:rsidRPr="000D53C7">
        <w:rPr>
          <w:rFonts w:ascii="Verdana" w:hAnsi="Verdana"/>
          <w:b w:val="0"/>
          <w:sz w:val="20"/>
          <w:u w:val="none"/>
        </w:rPr>
        <w:t xml:space="preserve"> </w:t>
      </w:r>
      <w:r w:rsidR="00346DFD" w:rsidRPr="000D53C7">
        <w:rPr>
          <w:rFonts w:ascii="Verdana" w:hAnsi="Verdana"/>
          <w:b w:val="0"/>
          <w:sz w:val="20"/>
          <w:u w:val="none"/>
        </w:rPr>
        <w:t xml:space="preserve">Bij wilde soorten is het vaak moeilijk om de aanwezige kiemrust te doorbreken. Zaden in kiemrust zwellen wel maar kiemen niet. </w:t>
      </w:r>
      <w:bookmarkStart w:id="6" w:name="_Hlk19609966"/>
      <w:r w:rsidR="009755FF" w:rsidRPr="000D53C7">
        <w:rPr>
          <w:rFonts w:ascii="Verdana" w:hAnsi="Verdana"/>
          <w:b w:val="0"/>
          <w:sz w:val="20"/>
          <w:u w:val="none"/>
        </w:rPr>
        <w:t xml:space="preserve">Bij het berekenen van het kiemkrachtpercentage wordt voor het aantal gezwollen zaden bij het aantal normale kiemplanten opgeteld. </w:t>
      </w:r>
      <w:r w:rsidR="00346DFD" w:rsidRPr="000D53C7">
        <w:rPr>
          <w:rFonts w:ascii="Verdana" w:hAnsi="Verdana"/>
          <w:b w:val="0"/>
          <w:sz w:val="20"/>
          <w:u w:val="none"/>
        </w:rPr>
        <w:t xml:space="preserve">Dit wordt ook gedaan in het geval van </w:t>
      </w:r>
      <w:proofErr w:type="spellStart"/>
      <w:r w:rsidR="00346DFD" w:rsidRPr="000D53C7">
        <w:rPr>
          <w:rFonts w:ascii="Verdana" w:hAnsi="Verdana"/>
          <w:b w:val="0"/>
          <w:sz w:val="20"/>
          <w:u w:val="none"/>
        </w:rPr>
        <w:t>hardschaligheid</w:t>
      </w:r>
      <w:proofErr w:type="spellEnd"/>
      <w:r w:rsidR="009755FF" w:rsidRPr="000D53C7">
        <w:rPr>
          <w:rFonts w:ascii="Verdana" w:hAnsi="Verdana"/>
          <w:b w:val="0"/>
          <w:sz w:val="20"/>
          <w:u w:val="none"/>
        </w:rPr>
        <w:t>, een</w:t>
      </w:r>
      <w:r w:rsidR="00346DFD" w:rsidRPr="000D53C7">
        <w:rPr>
          <w:rFonts w:ascii="Verdana" w:hAnsi="Verdana"/>
          <w:b w:val="0"/>
          <w:sz w:val="20"/>
          <w:u w:val="none"/>
        </w:rPr>
        <w:t xml:space="preserve"> vorm van </w:t>
      </w:r>
      <w:r w:rsidR="009755FF" w:rsidRPr="000D53C7">
        <w:rPr>
          <w:rFonts w:ascii="Verdana" w:hAnsi="Verdana"/>
          <w:b w:val="0"/>
          <w:sz w:val="20"/>
          <w:u w:val="none"/>
        </w:rPr>
        <w:t>kiemrust die voorkomt b</w:t>
      </w:r>
      <w:r w:rsidR="00346DFD" w:rsidRPr="000D53C7">
        <w:rPr>
          <w:rFonts w:ascii="Verdana" w:hAnsi="Verdana"/>
          <w:b w:val="0"/>
          <w:sz w:val="20"/>
          <w:u w:val="none"/>
        </w:rPr>
        <w:t>ij klaver, veldboon en erwt.</w:t>
      </w:r>
      <w:r w:rsidR="00346DFD" w:rsidRPr="000D53C7">
        <w:rPr>
          <w:rFonts w:ascii="Verdana" w:hAnsi="Verdana"/>
          <w:b w:val="0"/>
        </w:rPr>
        <w:t xml:space="preserve"> </w:t>
      </w:r>
    </w:p>
    <w:bookmarkEnd w:id="6"/>
    <w:p w14:paraId="2C8CFB02" w14:textId="77777777" w:rsidR="00346DFD" w:rsidRPr="000D53C7" w:rsidRDefault="00346DFD" w:rsidP="00346DFD">
      <w:pPr>
        <w:pStyle w:val="BodyText"/>
        <w:tabs>
          <w:tab w:val="left" w:pos="709"/>
          <w:tab w:val="left" w:pos="1065"/>
        </w:tabs>
        <w:ind w:left="720"/>
        <w:rPr>
          <w:rFonts w:ascii="Verdana" w:hAnsi="Verdana"/>
          <w:b w:val="0"/>
          <w:sz w:val="20"/>
          <w:u w:val="none"/>
        </w:rPr>
      </w:pPr>
    </w:p>
    <w:p w14:paraId="37864A7A" w14:textId="77777777" w:rsidR="00346DFD" w:rsidRPr="000D53C7" w:rsidRDefault="00B13FB7" w:rsidP="008946CB">
      <w:pPr>
        <w:pStyle w:val="BodyText"/>
        <w:numPr>
          <w:ilvl w:val="0"/>
          <w:numId w:val="38"/>
        </w:numPr>
        <w:tabs>
          <w:tab w:val="left" w:pos="709"/>
          <w:tab w:val="left" w:pos="1065"/>
        </w:tabs>
        <w:rPr>
          <w:rFonts w:ascii="Verdana" w:hAnsi="Verdana"/>
          <w:b w:val="0"/>
          <w:sz w:val="20"/>
          <w:u w:val="none"/>
        </w:rPr>
      </w:pPr>
      <w:r w:rsidRPr="000D53C7">
        <w:rPr>
          <w:rFonts w:ascii="Verdana" w:hAnsi="Verdana"/>
          <w:b w:val="0"/>
          <w:sz w:val="20"/>
        </w:rPr>
        <w:t xml:space="preserve">Extra vermeerdering </w:t>
      </w:r>
      <w:r w:rsidRPr="000D53C7">
        <w:rPr>
          <w:rFonts w:ascii="Verdana" w:hAnsi="Verdana"/>
          <w:b w:val="0"/>
          <w:sz w:val="20"/>
        </w:rPr>
        <w:br/>
      </w:r>
      <w:r w:rsidR="00346DFD" w:rsidRPr="000D53C7">
        <w:rPr>
          <w:rFonts w:ascii="Verdana" w:hAnsi="Verdana"/>
          <w:b w:val="0"/>
          <w:sz w:val="20"/>
          <w:u w:val="none"/>
        </w:rPr>
        <w:t xml:space="preserve">Indien het materiaal niet verder geschoond kan worden en </w:t>
      </w:r>
      <w:r w:rsidRPr="000D53C7">
        <w:rPr>
          <w:rFonts w:ascii="Verdana" w:hAnsi="Verdana"/>
          <w:b w:val="0"/>
          <w:sz w:val="20"/>
          <w:u w:val="none"/>
        </w:rPr>
        <w:t>een eventuele kiemrust niet doorbroken kan worden</w:t>
      </w:r>
      <w:r w:rsidR="00346DFD" w:rsidRPr="000D53C7">
        <w:rPr>
          <w:rFonts w:ascii="Verdana" w:hAnsi="Verdana"/>
          <w:b w:val="0"/>
          <w:sz w:val="20"/>
          <w:u w:val="none"/>
        </w:rPr>
        <w:t xml:space="preserve">, wordt in overleg met de curator vastgesteld of het materiaal opnieuw vermeerderd </w:t>
      </w:r>
      <w:r w:rsidRPr="000D53C7">
        <w:rPr>
          <w:rFonts w:ascii="Verdana" w:hAnsi="Verdana"/>
          <w:b w:val="0"/>
          <w:sz w:val="20"/>
          <w:u w:val="none"/>
        </w:rPr>
        <w:t xml:space="preserve">zal </w:t>
      </w:r>
      <w:r w:rsidR="00346DFD" w:rsidRPr="000D53C7">
        <w:rPr>
          <w:rFonts w:ascii="Verdana" w:hAnsi="Verdana"/>
          <w:b w:val="0"/>
          <w:sz w:val="20"/>
          <w:u w:val="none"/>
        </w:rPr>
        <w:t>word</w:t>
      </w:r>
      <w:r w:rsidRPr="000D53C7">
        <w:rPr>
          <w:rFonts w:ascii="Verdana" w:hAnsi="Verdana"/>
          <w:b w:val="0"/>
          <w:sz w:val="20"/>
          <w:u w:val="none"/>
        </w:rPr>
        <w:t>en</w:t>
      </w:r>
      <w:r w:rsidR="00346DFD" w:rsidRPr="000D53C7">
        <w:rPr>
          <w:rFonts w:ascii="Verdana" w:hAnsi="Verdana"/>
          <w:b w:val="0"/>
          <w:sz w:val="20"/>
          <w:u w:val="none"/>
        </w:rPr>
        <w:t xml:space="preserve">. </w:t>
      </w:r>
    </w:p>
    <w:p w14:paraId="35E4007D" w14:textId="77777777" w:rsidR="00B13FB7" w:rsidRPr="000D53C7" w:rsidRDefault="00B13FB7" w:rsidP="00B13FB7">
      <w:pPr>
        <w:pStyle w:val="ListParagraph"/>
        <w:rPr>
          <w:rFonts w:ascii="Verdana" w:hAnsi="Verdana"/>
          <w:lang w:val="nl-NL"/>
        </w:rPr>
      </w:pPr>
    </w:p>
    <w:p w14:paraId="06F390E8" w14:textId="4C6A1622" w:rsidR="0034183B" w:rsidRPr="000977DC" w:rsidRDefault="00B13FB7" w:rsidP="00E4763E">
      <w:pPr>
        <w:pStyle w:val="EnvelopeReturn"/>
        <w:numPr>
          <w:ilvl w:val="0"/>
          <w:numId w:val="38"/>
        </w:numPr>
        <w:tabs>
          <w:tab w:val="left" w:pos="709"/>
          <w:tab w:val="left" w:pos="1065"/>
        </w:tabs>
        <w:rPr>
          <w:rFonts w:ascii="Verdana" w:hAnsi="Verdana"/>
          <w:lang w:val="nl-NL"/>
        </w:rPr>
      </w:pPr>
      <w:r w:rsidRPr="00EB7FBB">
        <w:rPr>
          <w:rFonts w:ascii="Verdana" w:hAnsi="Verdana"/>
          <w:u w:val="single"/>
          <w:lang w:val="nl-NL"/>
        </w:rPr>
        <w:t>Opname als afwijkend materiaal of vernietiging</w:t>
      </w:r>
      <w:r w:rsidRPr="00EB7FBB">
        <w:rPr>
          <w:rFonts w:ascii="Verdana" w:hAnsi="Verdana"/>
          <w:lang w:val="nl-NL"/>
        </w:rPr>
        <w:br/>
      </w:r>
      <w:r w:rsidR="00346DFD" w:rsidRPr="00EB7FBB">
        <w:rPr>
          <w:rFonts w:ascii="Verdana" w:hAnsi="Verdana"/>
          <w:lang w:val="nl-NL"/>
        </w:rPr>
        <w:t xml:space="preserve">In uitzonderingsgevallen, bij schriftelijke consensus van </w:t>
      </w:r>
      <w:r w:rsidR="006A3F99">
        <w:rPr>
          <w:rFonts w:ascii="Verdana" w:hAnsi="Verdana"/>
          <w:lang w:val="nl-NL"/>
        </w:rPr>
        <w:t>twee</w:t>
      </w:r>
      <w:r w:rsidR="00346DFD" w:rsidRPr="00EB7FBB">
        <w:rPr>
          <w:rFonts w:ascii="Verdana" w:hAnsi="Verdana"/>
          <w:lang w:val="nl-NL"/>
        </w:rPr>
        <w:t xml:space="preserve"> curatoren en de projectleider</w:t>
      </w:r>
      <w:r w:rsidR="006A3F99">
        <w:rPr>
          <w:rFonts w:ascii="Verdana" w:hAnsi="Verdana"/>
          <w:lang w:val="nl-NL"/>
        </w:rPr>
        <w:t xml:space="preserve"> collectiebeheer/Clusterleider</w:t>
      </w:r>
      <w:r w:rsidR="00346DFD" w:rsidRPr="00EB7FBB">
        <w:rPr>
          <w:rFonts w:ascii="Verdana" w:hAnsi="Verdana"/>
          <w:lang w:val="nl-NL"/>
        </w:rPr>
        <w:t>, mag van de minimumkwaliteitseis worden afgeweken.</w:t>
      </w:r>
      <w:r w:rsidR="006A3F99">
        <w:rPr>
          <w:rFonts w:ascii="Verdana" w:hAnsi="Verdana"/>
          <w:lang w:val="nl-NL"/>
        </w:rPr>
        <w:t xml:space="preserve"> Zie hiervoor </w:t>
      </w:r>
      <w:r w:rsidR="006A3F99" w:rsidRPr="006A3F99">
        <w:rPr>
          <w:rFonts w:ascii="Verdana" w:hAnsi="Verdana"/>
          <w:lang w:val="nl-NL"/>
        </w:rPr>
        <w:t>FOR-CGN-PG-030 Opname met toestemming</w:t>
      </w:r>
      <w:r w:rsidR="006A3F99">
        <w:rPr>
          <w:rFonts w:ascii="Verdana" w:hAnsi="Verdana"/>
          <w:lang w:val="nl-NL"/>
        </w:rPr>
        <w:t>.</w:t>
      </w:r>
      <w:r w:rsidR="00346DFD" w:rsidRPr="00EB7FBB">
        <w:rPr>
          <w:rFonts w:ascii="Verdana" w:hAnsi="Verdana"/>
          <w:lang w:val="nl-NL"/>
        </w:rPr>
        <w:t xml:space="preserve"> </w:t>
      </w:r>
      <w:r w:rsidR="00346DFD" w:rsidRPr="000977DC">
        <w:rPr>
          <w:rFonts w:ascii="Verdana" w:hAnsi="Verdana"/>
          <w:lang w:val="nl-NL"/>
        </w:rPr>
        <w:t>Dit geldt met name voor materiaal dat moeilijk te vermeerderen is (wilde soorten)</w:t>
      </w:r>
      <w:r w:rsidR="006A3F99">
        <w:rPr>
          <w:rFonts w:ascii="Verdana" w:hAnsi="Verdana"/>
          <w:lang w:val="nl-NL"/>
        </w:rPr>
        <w:t xml:space="preserve">, </w:t>
      </w:r>
      <w:r w:rsidR="00346DFD" w:rsidRPr="000977DC">
        <w:rPr>
          <w:rFonts w:ascii="Verdana" w:hAnsi="Verdana"/>
          <w:lang w:val="nl-NL"/>
        </w:rPr>
        <w:t>waarvan een nieuwe vermeerdering zeer kostbaar is</w:t>
      </w:r>
      <w:r w:rsidR="006A3F99">
        <w:rPr>
          <w:rFonts w:ascii="Verdana" w:hAnsi="Verdana"/>
          <w:lang w:val="nl-NL"/>
        </w:rPr>
        <w:t>, of bij landrassen die eigenlijk beter als wild beschouwd kunnen worden, zoals sommige slechter kiemende aardappellandrassen</w:t>
      </w:r>
      <w:r w:rsidR="00346DFD" w:rsidRPr="000977DC">
        <w:rPr>
          <w:rFonts w:ascii="Verdana" w:hAnsi="Verdana"/>
          <w:lang w:val="nl-NL"/>
        </w:rPr>
        <w:t xml:space="preserve">. In dit geval krijgt de uitslag een aanduiding van A. In het </w:t>
      </w:r>
      <w:proofErr w:type="spellStart"/>
      <w:r w:rsidR="00346DFD" w:rsidRPr="000977DC">
        <w:rPr>
          <w:rFonts w:ascii="Verdana" w:hAnsi="Verdana"/>
          <w:lang w:val="nl-NL"/>
        </w:rPr>
        <w:t>remark</w:t>
      </w:r>
      <w:proofErr w:type="spellEnd"/>
      <w:r w:rsidR="00346DFD" w:rsidRPr="000977DC">
        <w:rPr>
          <w:rFonts w:ascii="Verdana" w:hAnsi="Verdana"/>
          <w:lang w:val="nl-NL"/>
        </w:rPr>
        <w:t xml:space="preserve"> veld wordt de opmerking opname met toestemming toegevoegd.</w:t>
      </w:r>
      <w:r w:rsidR="000D53C7" w:rsidRPr="000977DC">
        <w:rPr>
          <w:rFonts w:ascii="Verdana" w:hAnsi="Verdana"/>
          <w:lang w:val="nl-NL"/>
        </w:rPr>
        <w:br/>
      </w:r>
      <w:r w:rsidR="000D53C7" w:rsidRPr="00EB7FBB">
        <w:rPr>
          <w:rFonts w:ascii="Verdana" w:hAnsi="Verdana"/>
          <w:lang w:val="nl-NL"/>
        </w:rPr>
        <w:t>Indien de resultaten van de aanvangskiemkracht onder de afgesproken norm blijven, en er wordt geen uitzondering gemaakt om het materiaal als afwijkend op te nemen, dan</w:t>
      </w:r>
      <w:r w:rsidR="00673E8E" w:rsidRPr="00EB7FBB">
        <w:rPr>
          <w:rFonts w:ascii="Verdana" w:hAnsi="Verdana"/>
          <w:lang w:val="nl-NL"/>
        </w:rPr>
        <w:t xml:space="preserve"> </w:t>
      </w:r>
      <w:r w:rsidR="000D53C7" w:rsidRPr="00EB7FBB">
        <w:rPr>
          <w:rFonts w:ascii="Verdana" w:hAnsi="Verdana"/>
          <w:lang w:val="nl-NL"/>
        </w:rPr>
        <w:t xml:space="preserve">krijgt de accessie de status </w:t>
      </w:r>
      <w:proofErr w:type="spellStart"/>
      <w:r w:rsidR="000D53C7" w:rsidRPr="00EB7FBB">
        <w:rPr>
          <w:rFonts w:ascii="Verdana" w:hAnsi="Verdana"/>
          <w:lang w:val="nl-NL"/>
        </w:rPr>
        <w:t>not-accessed</w:t>
      </w:r>
      <w:proofErr w:type="spellEnd"/>
      <w:r w:rsidR="000D53C7" w:rsidRPr="00EB7FBB">
        <w:rPr>
          <w:rFonts w:ascii="Verdana" w:hAnsi="Verdana"/>
          <w:lang w:val="nl-NL"/>
        </w:rPr>
        <w:t xml:space="preserve">. </w:t>
      </w:r>
      <w:r w:rsidR="00673E8E" w:rsidRPr="00EB7FBB">
        <w:rPr>
          <w:rFonts w:ascii="Verdana" w:hAnsi="Verdana"/>
          <w:lang w:val="nl-NL"/>
        </w:rPr>
        <w:br/>
        <w:t>De curator kan dan later besluiten het materiaal nogmaals te toetsen of het te vernietigen.</w:t>
      </w:r>
    </w:p>
    <w:sectPr w:rsidR="0034183B" w:rsidRPr="000977DC" w:rsidSect="00D1138A">
      <w:headerReference w:type="default" r:id="rId7"/>
      <w:pgSz w:w="11907" w:h="16840" w:code="9"/>
      <w:pgMar w:top="1440" w:right="1797" w:bottom="1440" w:left="1797"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1ECDFC" w14:textId="77777777" w:rsidR="00D3091D" w:rsidRDefault="00D3091D">
      <w:r>
        <w:separator/>
      </w:r>
    </w:p>
  </w:endnote>
  <w:endnote w:type="continuationSeparator" w:id="0">
    <w:p w14:paraId="288557EE" w14:textId="77777777" w:rsidR="00D3091D" w:rsidRDefault="00D30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Calibri"/>
    <w:panose1 w:val="020B0500000000000000"/>
    <w:charset w:val="00"/>
    <w:family w:val="swiss"/>
    <w:pitch w:val="variable"/>
    <w:sig w:usb0="00000083" w:usb1="00000000" w:usb2="00000000" w:usb3="00000000" w:csb0="00000009" w:csb1="00000000"/>
  </w:font>
  <w:font w:name="Agrofont">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6D89E" w14:textId="77777777" w:rsidR="00D3091D" w:rsidRDefault="00D3091D">
      <w:r>
        <w:separator/>
      </w:r>
    </w:p>
  </w:footnote>
  <w:footnote w:type="continuationSeparator" w:id="0">
    <w:p w14:paraId="5E75CFC7" w14:textId="77777777" w:rsidR="00D3091D" w:rsidRDefault="00D309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46"/>
      <w:gridCol w:w="1566"/>
    </w:tblGrid>
    <w:tr w:rsidR="00FA6ACD" w14:paraId="6C93E607" w14:textId="77777777" w:rsidTr="00423D32">
      <w:trPr>
        <w:trHeight w:val="747"/>
      </w:trPr>
      <w:tc>
        <w:tcPr>
          <w:tcW w:w="8046" w:type="dxa"/>
        </w:tcPr>
        <w:p w14:paraId="1706E730" w14:textId="77777777" w:rsidR="00FA6ACD" w:rsidRPr="005C2B6B" w:rsidRDefault="00FA6ACD">
          <w:pPr>
            <w:pStyle w:val="Header"/>
            <w:jc w:val="center"/>
            <w:rPr>
              <w:rStyle w:val="PageNumber"/>
              <w:sz w:val="16"/>
              <w:lang w:val="nl-NL"/>
            </w:rPr>
          </w:pPr>
          <w:r w:rsidRPr="008559FA">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8559FA">
            <w:rPr>
              <w:rFonts w:ascii="Tahoma" w:hAnsi="Tahoma"/>
              <w:sz w:val="40"/>
              <w:lang w:val="nl-NL"/>
              <w14:shadow w14:blurRad="50800" w14:dist="38100" w14:dir="2700000" w14:sx="100000" w14:sy="100000" w14:kx="0" w14:ky="0" w14:algn="tl">
                <w14:srgbClr w14:val="000000">
                  <w14:alpha w14:val="60000"/>
                </w14:srgbClr>
              </w14:shadow>
            </w:rPr>
            <w:br/>
          </w:r>
          <w:r w:rsidRPr="008559FA">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566" w:type="dxa"/>
        </w:tcPr>
        <w:p w14:paraId="7EDFD8FA" w14:textId="77777777" w:rsidR="00FA6ACD" w:rsidRDefault="00FA6ACD">
          <w:pPr>
            <w:pStyle w:val="Header"/>
            <w:rPr>
              <w:rStyle w:val="PageNumber"/>
              <w:sz w:val="16"/>
            </w:rPr>
          </w:pPr>
          <w:r>
            <w:rPr>
              <w:rFonts w:ascii="Tahoma" w:hAnsi="Tahoma"/>
              <w:b/>
              <w:noProof/>
              <w:sz w:val="40"/>
              <w:lang w:val="nl-NL"/>
            </w:rPr>
            <w:drawing>
              <wp:inline distT="0" distB="0" distL="0" distR="0" wp14:anchorId="1D57AFA3" wp14:editId="47F9D376">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FA6ACD" w14:paraId="07EEA85D" w14:textId="77777777" w:rsidTr="00423D32">
      <w:trPr>
        <w:trHeight w:val="390"/>
      </w:trPr>
      <w:tc>
        <w:tcPr>
          <w:tcW w:w="8046" w:type="dxa"/>
        </w:tcPr>
        <w:p w14:paraId="00EC9A73" w14:textId="77777777" w:rsidR="00FA6ACD" w:rsidRDefault="00FA6ACD">
          <w:pPr>
            <w:pStyle w:val="Header"/>
            <w:tabs>
              <w:tab w:val="left" w:pos="851"/>
            </w:tabs>
            <w:rPr>
              <w:rStyle w:val="PageNumber"/>
              <w:sz w:val="16"/>
            </w:rPr>
          </w:pPr>
        </w:p>
        <w:p w14:paraId="0FEDE3A7" w14:textId="77777777" w:rsidR="00FA6ACD" w:rsidRDefault="00FA6ACD">
          <w:pPr>
            <w:pStyle w:val="Header"/>
            <w:tabs>
              <w:tab w:val="left" w:pos="851"/>
            </w:tabs>
            <w:rPr>
              <w:rStyle w:val="PageNumber"/>
              <w:b/>
              <w:sz w:val="16"/>
            </w:rPr>
          </w:pPr>
        </w:p>
        <w:p w14:paraId="34434826" w14:textId="77777777" w:rsidR="00FA6ACD" w:rsidRDefault="00FA6ACD">
          <w:pPr>
            <w:pStyle w:val="Header"/>
            <w:tabs>
              <w:tab w:val="left" w:pos="851"/>
            </w:tabs>
            <w:rPr>
              <w:rStyle w:val="PageNumber"/>
              <w:b/>
              <w:sz w:val="16"/>
            </w:rPr>
          </w:pPr>
          <w:r>
            <w:rPr>
              <w:rStyle w:val="PageNumber"/>
              <w:b/>
              <w:sz w:val="16"/>
            </w:rPr>
            <w:t>PRT-CGN-PG-301 PROTOCOL KIEMKRACHTBEPALING</w:t>
          </w:r>
        </w:p>
        <w:p w14:paraId="1433ADEA" w14:textId="77777777" w:rsidR="00FA6ACD" w:rsidRDefault="00FA6ACD">
          <w:pPr>
            <w:pStyle w:val="Header"/>
            <w:tabs>
              <w:tab w:val="left" w:pos="851"/>
            </w:tabs>
            <w:rPr>
              <w:rStyle w:val="PageNumber"/>
              <w:sz w:val="16"/>
            </w:rPr>
          </w:pPr>
          <w:r>
            <w:rPr>
              <w:rStyle w:val="PageNumber"/>
              <w:sz w:val="16"/>
            </w:rPr>
            <w:tab/>
          </w:r>
        </w:p>
        <w:p w14:paraId="1DA3AC82" w14:textId="77777777" w:rsidR="00FA6ACD" w:rsidRDefault="00FA6ACD">
          <w:pPr>
            <w:pStyle w:val="Header"/>
            <w:tabs>
              <w:tab w:val="left" w:pos="851"/>
            </w:tabs>
            <w:rPr>
              <w:rStyle w:val="PageNumber"/>
              <w:sz w:val="16"/>
            </w:rPr>
          </w:pPr>
        </w:p>
      </w:tc>
      <w:tc>
        <w:tcPr>
          <w:tcW w:w="1566" w:type="dxa"/>
        </w:tcPr>
        <w:p w14:paraId="2B1DC5CA" w14:textId="77777777" w:rsidR="00FA6ACD" w:rsidRPr="005C2B6B" w:rsidRDefault="00FA6ACD">
          <w:pPr>
            <w:pStyle w:val="Header"/>
            <w:rPr>
              <w:rStyle w:val="PageNumber"/>
              <w:sz w:val="16"/>
              <w:lang w:val="nl-NL"/>
            </w:rPr>
          </w:pPr>
          <w:r w:rsidRPr="005C2B6B">
            <w:rPr>
              <w:rStyle w:val="PageNumber"/>
              <w:sz w:val="16"/>
              <w:lang w:val="nl-NL"/>
            </w:rPr>
            <w:t>PGR</w:t>
          </w:r>
        </w:p>
        <w:p w14:paraId="3039AE50" w14:textId="77777777" w:rsidR="00FA6ACD" w:rsidRPr="005C2B6B" w:rsidRDefault="00FA6ACD">
          <w:pPr>
            <w:pStyle w:val="Header"/>
            <w:rPr>
              <w:rStyle w:val="PageNumber"/>
              <w:sz w:val="16"/>
              <w:lang w:val="nl-NL"/>
            </w:rPr>
          </w:pPr>
          <w:r w:rsidRPr="005C2B6B">
            <w:rPr>
              <w:rStyle w:val="PageNumber"/>
              <w:sz w:val="16"/>
              <w:lang w:val="nl-NL"/>
            </w:rPr>
            <w:t>PRT-CGN-PG-301</w:t>
          </w:r>
        </w:p>
        <w:p w14:paraId="2FE0FFAE" w14:textId="77777777" w:rsidR="00FA6ACD" w:rsidRPr="005C2B6B" w:rsidRDefault="00FA6ACD">
          <w:pPr>
            <w:pStyle w:val="Header"/>
            <w:rPr>
              <w:rStyle w:val="PageNumber"/>
              <w:sz w:val="16"/>
              <w:lang w:val="nl-NL"/>
            </w:rPr>
          </w:pPr>
          <w:r>
            <w:rPr>
              <w:rStyle w:val="PageNumber"/>
              <w:sz w:val="16"/>
              <w:lang w:val="nl-NL"/>
            </w:rPr>
            <w:t>Versie: 5</w:t>
          </w:r>
        </w:p>
        <w:p w14:paraId="65BD726A" w14:textId="77777777" w:rsidR="00FA6ACD" w:rsidRDefault="00FA6ACD">
          <w:pPr>
            <w:pStyle w:val="Header"/>
            <w:rPr>
              <w:rStyle w:val="PageNumber"/>
              <w:sz w:val="16"/>
            </w:rPr>
          </w:pPr>
          <w:proofErr w:type="spellStart"/>
          <w:r>
            <w:rPr>
              <w:rStyle w:val="PageNumber"/>
              <w:sz w:val="16"/>
            </w:rPr>
            <w:t>Pagina</w:t>
          </w:r>
          <w:proofErr w:type="spellEnd"/>
          <w:r>
            <w:rPr>
              <w:rStyle w:val="PageNumber"/>
              <w:sz w:val="16"/>
            </w:rPr>
            <w:t xml:space="preserve">: </w:t>
          </w:r>
          <w:r>
            <w:rPr>
              <w:rStyle w:val="PageNumber"/>
              <w:sz w:val="16"/>
            </w:rPr>
            <w:fldChar w:fldCharType="begin"/>
          </w:r>
          <w:r>
            <w:rPr>
              <w:rStyle w:val="PageNumber"/>
              <w:sz w:val="16"/>
            </w:rPr>
            <w:instrText xml:space="preserve"> PAGE </w:instrText>
          </w:r>
          <w:r>
            <w:rPr>
              <w:rStyle w:val="PageNumber"/>
              <w:sz w:val="16"/>
            </w:rPr>
            <w:fldChar w:fldCharType="separate"/>
          </w:r>
          <w:r>
            <w:rPr>
              <w:rStyle w:val="PageNumber"/>
              <w:noProof/>
              <w:sz w:val="16"/>
            </w:rPr>
            <w:t>1</w:t>
          </w:r>
          <w:r>
            <w:rPr>
              <w:rStyle w:val="PageNumber"/>
              <w:sz w:val="16"/>
            </w:rPr>
            <w:fldChar w:fldCharType="end"/>
          </w:r>
          <w:r>
            <w:rPr>
              <w:rStyle w:val="PageNumber"/>
              <w:sz w:val="16"/>
            </w:rPr>
            <w:t xml:space="preserve"> van </w:t>
          </w:r>
          <w:r>
            <w:rPr>
              <w:rStyle w:val="PageNumber"/>
              <w:sz w:val="16"/>
            </w:rPr>
            <w:fldChar w:fldCharType="begin"/>
          </w:r>
          <w:r>
            <w:rPr>
              <w:rStyle w:val="PageNumber"/>
              <w:sz w:val="16"/>
            </w:rPr>
            <w:instrText xml:space="preserve"> NUMPAGES </w:instrText>
          </w:r>
          <w:r>
            <w:rPr>
              <w:rStyle w:val="PageNumber"/>
              <w:sz w:val="16"/>
            </w:rPr>
            <w:fldChar w:fldCharType="separate"/>
          </w:r>
          <w:r>
            <w:rPr>
              <w:rStyle w:val="PageNumber"/>
              <w:noProof/>
              <w:sz w:val="16"/>
            </w:rPr>
            <w:t>4</w:t>
          </w:r>
          <w:r>
            <w:rPr>
              <w:rStyle w:val="PageNumber"/>
              <w:sz w:val="16"/>
            </w:rPr>
            <w:fldChar w:fldCharType="end"/>
          </w:r>
        </w:p>
        <w:p w14:paraId="2FDB378B" w14:textId="77777777" w:rsidR="00FA6ACD" w:rsidRDefault="00FA6ACD" w:rsidP="00865FBF">
          <w:pPr>
            <w:pStyle w:val="Header"/>
            <w:rPr>
              <w:rStyle w:val="PageNumber"/>
              <w:sz w:val="16"/>
            </w:rPr>
          </w:pPr>
          <w:proofErr w:type="spellStart"/>
          <w:r>
            <w:rPr>
              <w:rStyle w:val="PageNumber"/>
              <w:sz w:val="16"/>
            </w:rPr>
            <w:t>Afgifte</w:t>
          </w:r>
          <w:proofErr w:type="spellEnd"/>
          <w:r>
            <w:rPr>
              <w:rStyle w:val="PageNumber"/>
              <w:sz w:val="16"/>
            </w:rPr>
            <w:t>: 27-10-2015</w:t>
          </w:r>
        </w:p>
      </w:tc>
    </w:tr>
  </w:tbl>
  <w:p w14:paraId="69BDBB98" w14:textId="77777777" w:rsidR="00FA6ACD" w:rsidRDefault="00FA6ACD">
    <w:pPr>
      <w:pStyle w:val="Header"/>
    </w:pPr>
  </w:p>
  <w:p w14:paraId="2ED29ED2" w14:textId="77777777" w:rsidR="00FA6ACD" w:rsidRDefault="00FA6ACD">
    <w:pPr>
      <w:pStyle w:val="Header"/>
    </w:pPr>
  </w:p>
  <w:p w14:paraId="6123A7A4" w14:textId="77777777" w:rsidR="00FA6ACD" w:rsidRDefault="00FA6A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A1AFD30"/>
    <w:lvl w:ilvl="0">
      <w:numFmt w:val="decimal"/>
      <w:lvlText w:val="*"/>
      <w:lvlJc w:val="left"/>
    </w:lvl>
  </w:abstractNum>
  <w:abstractNum w:abstractNumId="1" w15:restartNumberingAfterBreak="0">
    <w:nsid w:val="029B27C3"/>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 w15:restartNumberingAfterBreak="0">
    <w:nsid w:val="02EA7EE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349254B"/>
    <w:multiLevelType w:val="multilevel"/>
    <w:tmpl w:val="C568D5C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D24651"/>
    <w:multiLevelType w:val="hybridMultilevel"/>
    <w:tmpl w:val="3CA8455A"/>
    <w:lvl w:ilvl="0" w:tplc="39420CE6">
      <w:start w:val="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0CA53F3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11A3FC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3CB7842"/>
    <w:multiLevelType w:val="hybridMultilevel"/>
    <w:tmpl w:val="9C04D59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4C627D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C7041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D4B0DC2"/>
    <w:multiLevelType w:val="multilevel"/>
    <w:tmpl w:val="8A06A39E"/>
    <w:lvl w:ilvl="0">
      <w:start w:val="3"/>
      <w:numFmt w:val="decimal"/>
      <w:lvlText w:val="%1."/>
      <w:lvlJc w:val="left"/>
      <w:pPr>
        <w:tabs>
          <w:tab w:val="num" w:pos="852"/>
        </w:tabs>
        <w:ind w:left="852" w:hanging="852"/>
      </w:pPr>
      <w:rPr>
        <w:rFonts w:hint="default"/>
      </w:rPr>
    </w:lvl>
    <w:lvl w:ilvl="1">
      <w:start w:val="2"/>
      <w:numFmt w:val="decimal"/>
      <w:isLgl/>
      <w:lvlText w:val="%1.%2"/>
      <w:lvlJc w:val="left"/>
      <w:pPr>
        <w:tabs>
          <w:tab w:val="num" w:pos="852"/>
        </w:tabs>
        <w:ind w:left="852" w:hanging="852"/>
      </w:pPr>
      <w:rPr>
        <w:rFonts w:hint="default"/>
      </w:rPr>
    </w:lvl>
    <w:lvl w:ilvl="2">
      <w:start w:val="1"/>
      <w:numFmt w:val="decimal"/>
      <w:isLgl/>
      <w:lvlText w:val="%1.%2.%3"/>
      <w:lvlJc w:val="left"/>
      <w:pPr>
        <w:tabs>
          <w:tab w:val="num" w:pos="852"/>
        </w:tabs>
        <w:ind w:left="852" w:hanging="852"/>
      </w:pPr>
      <w:rPr>
        <w:rFonts w:hint="default"/>
      </w:rPr>
    </w:lvl>
    <w:lvl w:ilvl="3">
      <w:start w:val="1"/>
      <w:numFmt w:val="decimal"/>
      <w:isLgl/>
      <w:lvlText w:val="%1.%2.%3.%4"/>
      <w:lvlJc w:val="left"/>
      <w:pPr>
        <w:tabs>
          <w:tab w:val="num" w:pos="852"/>
        </w:tabs>
        <w:ind w:left="852" w:hanging="852"/>
      </w:pPr>
      <w:rPr>
        <w:rFonts w:hint="default"/>
      </w:rPr>
    </w:lvl>
    <w:lvl w:ilvl="4">
      <w:start w:val="1"/>
      <w:numFmt w:val="decimal"/>
      <w:isLgl/>
      <w:lvlText w:val="%1.%2.%3.%4.%5"/>
      <w:lvlJc w:val="left"/>
      <w:pPr>
        <w:tabs>
          <w:tab w:val="num" w:pos="852"/>
        </w:tabs>
        <w:ind w:left="852" w:hanging="852"/>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2" w15:restartNumberingAfterBreak="0">
    <w:nsid w:val="27F63D44"/>
    <w:multiLevelType w:val="hybridMultilevel"/>
    <w:tmpl w:val="3D40185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2A5379FB"/>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4" w15:restartNumberingAfterBreak="0">
    <w:nsid w:val="2A861C3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2EDE3B8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0B421C4"/>
    <w:multiLevelType w:val="multilevel"/>
    <w:tmpl w:val="33EAFE6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2FB79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36619EE"/>
    <w:multiLevelType w:val="hybridMultilevel"/>
    <w:tmpl w:val="B9FA3ADE"/>
    <w:lvl w:ilvl="0" w:tplc="39420CE6">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361047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3934444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3D867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1C14A4F"/>
    <w:multiLevelType w:val="hybridMultilevel"/>
    <w:tmpl w:val="8C840B1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4" w15:restartNumberingAfterBreak="0">
    <w:nsid w:val="43C51DA0"/>
    <w:multiLevelType w:val="multilevel"/>
    <w:tmpl w:val="6D82A38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DBD17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6" w15:restartNumberingAfterBreak="0">
    <w:nsid w:val="613D1C7A"/>
    <w:multiLevelType w:val="hybridMultilevel"/>
    <w:tmpl w:val="75AE387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62215A6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26F7B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627A251E"/>
    <w:multiLevelType w:val="multilevel"/>
    <w:tmpl w:val="342006C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514091D"/>
    <w:multiLevelType w:val="hybridMultilevel"/>
    <w:tmpl w:val="41B2B076"/>
    <w:lvl w:ilvl="0" w:tplc="39420CE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68DA32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C221C9C"/>
    <w:multiLevelType w:val="hybridMultilevel"/>
    <w:tmpl w:val="33A837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E7A206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1AE666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7CDD089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732581847">
    <w:abstractNumId w:val="11"/>
  </w:num>
  <w:num w:numId="2" w16cid:durableId="1963072605">
    <w:abstractNumId w:val="0"/>
    <w:lvlOverride w:ilvl="0">
      <w:lvl w:ilvl="0">
        <w:start w:val="1"/>
        <w:numFmt w:val="bullet"/>
        <w:lvlText w:val=""/>
        <w:legacy w:legacy="1" w:legacySpace="0" w:legacyIndent="567"/>
        <w:lvlJc w:val="left"/>
        <w:rPr>
          <w:rFonts w:ascii="Symbol" w:hAnsi="Symbol" w:hint="default"/>
          <w:sz w:val="20"/>
        </w:rPr>
      </w:lvl>
    </w:lvlOverride>
  </w:num>
  <w:num w:numId="3" w16cid:durableId="328993959">
    <w:abstractNumId w:val="29"/>
  </w:num>
  <w:num w:numId="4" w16cid:durableId="30303153">
    <w:abstractNumId w:val="24"/>
  </w:num>
  <w:num w:numId="5" w16cid:durableId="461387576">
    <w:abstractNumId w:val="3"/>
  </w:num>
  <w:num w:numId="6" w16cid:durableId="325978434">
    <w:abstractNumId w:val="16"/>
  </w:num>
  <w:num w:numId="7" w16cid:durableId="1714109158">
    <w:abstractNumId w:val="19"/>
  </w:num>
  <w:num w:numId="8" w16cid:durableId="73626007">
    <w:abstractNumId w:val="20"/>
  </w:num>
  <w:num w:numId="9" w16cid:durableId="51732526">
    <w:abstractNumId w:val="5"/>
  </w:num>
  <w:num w:numId="10" w16cid:durableId="726562762">
    <w:abstractNumId w:val="13"/>
  </w:num>
  <w:num w:numId="11" w16cid:durableId="125245245">
    <w:abstractNumId w:val="1"/>
  </w:num>
  <w:num w:numId="12" w16cid:durableId="332031151">
    <w:abstractNumId w:val="14"/>
  </w:num>
  <w:num w:numId="13" w16cid:durableId="1412854481">
    <w:abstractNumId w:val="22"/>
  </w:num>
  <w:num w:numId="14" w16cid:durableId="555555441">
    <w:abstractNumId w:val="28"/>
  </w:num>
  <w:num w:numId="15" w16cid:durableId="3747948">
    <w:abstractNumId w:val="25"/>
  </w:num>
  <w:num w:numId="16" w16cid:durableId="1797481192">
    <w:abstractNumId w:val="17"/>
  </w:num>
  <w:num w:numId="17" w16cid:durableId="2114586980">
    <w:abstractNumId w:val="34"/>
  </w:num>
  <w:num w:numId="18" w16cid:durableId="77290746">
    <w:abstractNumId w:val="33"/>
  </w:num>
  <w:num w:numId="19" w16cid:durableId="654798827">
    <w:abstractNumId w:val="31"/>
  </w:num>
  <w:num w:numId="20" w16cid:durableId="576285661">
    <w:abstractNumId w:val="37"/>
  </w:num>
  <w:num w:numId="21" w16cid:durableId="518158457">
    <w:abstractNumId w:val="6"/>
  </w:num>
  <w:num w:numId="22" w16cid:durableId="166598734">
    <w:abstractNumId w:val="35"/>
  </w:num>
  <w:num w:numId="23" w16cid:durableId="2105374146">
    <w:abstractNumId w:val="9"/>
  </w:num>
  <w:num w:numId="24" w16cid:durableId="666787529">
    <w:abstractNumId w:val="2"/>
  </w:num>
  <w:num w:numId="25" w16cid:durableId="1373576888">
    <w:abstractNumId w:val="27"/>
  </w:num>
  <w:num w:numId="26" w16cid:durableId="1127436100">
    <w:abstractNumId w:val="7"/>
  </w:num>
  <w:num w:numId="27" w16cid:durableId="1809782847">
    <w:abstractNumId w:val="36"/>
  </w:num>
  <w:num w:numId="28" w16cid:durableId="1367682770">
    <w:abstractNumId w:val="21"/>
  </w:num>
  <w:num w:numId="29" w16cid:durableId="505704322">
    <w:abstractNumId w:val="10"/>
  </w:num>
  <w:num w:numId="30" w16cid:durableId="796026371">
    <w:abstractNumId w:val="15"/>
  </w:num>
  <w:num w:numId="31" w16cid:durableId="752318451">
    <w:abstractNumId w:val="23"/>
  </w:num>
  <w:num w:numId="32" w16cid:durableId="1381056166">
    <w:abstractNumId w:val="32"/>
  </w:num>
  <w:num w:numId="33" w16cid:durableId="1101952312">
    <w:abstractNumId w:val="26"/>
  </w:num>
  <w:num w:numId="34" w16cid:durableId="296222821">
    <w:abstractNumId w:val="4"/>
  </w:num>
  <w:num w:numId="35" w16cid:durableId="976185649">
    <w:abstractNumId w:val="30"/>
  </w:num>
  <w:num w:numId="36" w16cid:durableId="289559282">
    <w:abstractNumId w:val="18"/>
  </w:num>
  <w:num w:numId="37" w16cid:durableId="804127867">
    <w:abstractNumId w:val="8"/>
  </w:num>
  <w:num w:numId="38" w16cid:durableId="68899559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2B6B"/>
    <w:rsid w:val="00006F98"/>
    <w:rsid w:val="0003575B"/>
    <w:rsid w:val="000452DA"/>
    <w:rsid w:val="0006319B"/>
    <w:rsid w:val="00083C08"/>
    <w:rsid w:val="000977DC"/>
    <w:rsid w:val="000D53C7"/>
    <w:rsid w:val="000E6C88"/>
    <w:rsid w:val="000F338F"/>
    <w:rsid w:val="001030E4"/>
    <w:rsid w:val="00111393"/>
    <w:rsid w:val="00124428"/>
    <w:rsid w:val="001807B6"/>
    <w:rsid w:val="001B5982"/>
    <w:rsid w:val="001C1EC4"/>
    <w:rsid w:val="001E7967"/>
    <w:rsid w:val="001F7440"/>
    <w:rsid w:val="00226A76"/>
    <w:rsid w:val="002A0731"/>
    <w:rsid w:val="002A2635"/>
    <w:rsid w:val="002C43A1"/>
    <w:rsid w:val="002F035B"/>
    <w:rsid w:val="0034183B"/>
    <w:rsid w:val="00346DFD"/>
    <w:rsid w:val="00354225"/>
    <w:rsid w:val="00356B51"/>
    <w:rsid w:val="00357E0A"/>
    <w:rsid w:val="003E16FF"/>
    <w:rsid w:val="003F520B"/>
    <w:rsid w:val="00412B0F"/>
    <w:rsid w:val="00423D32"/>
    <w:rsid w:val="004357AC"/>
    <w:rsid w:val="004476BC"/>
    <w:rsid w:val="00453947"/>
    <w:rsid w:val="004574FE"/>
    <w:rsid w:val="00460031"/>
    <w:rsid w:val="004B4F2D"/>
    <w:rsid w:val="004D2266"/>
    <w:rsid w:val="004D4A7C"/>
    <w:rsid w:val="00516C95"/>
    <w:rsid w:val="00521EAD"/>
    <w:rsid w:val="00523765"/>
    <w:rsid w:val="005476C4"/>
    <w:rsid w:val="00566F6E"/>
    <w:rsid w:val="00581543"/>
    <w:rsid w:val="005872EA"/>
    <w:rsid w:val="005B2AFB"/>
    <w:rsid w:val="005C2B6B"/>
    <w:rsid w:val="005C5FFD"/>
    <w:rsid w:val="005E1BA0"/>
    <w:rsid w:val="00622BC8"/>
    <w:rsid w:val="006560F3"/>
    <w:rsid w:val="00673E8E"/>
    <w:rsid w:val="0067585A"/>
    <w:rsid w:val="0068549E"/>
    <w:rsid w:val="006A3F99"/>
    <w:rsid w:val="006B6B1E"/>
    <w:rsid w:val="006F5070"/>
    <w:rsid w:val="00741E8D"/>
    <w:rsid w:val="007473A5"/>
    <w:rsid w:val="007A26E6"/>
    <w:rsid w:val="007A2986"/>
    <w:rsid w:val="007C551F"/>
    <w:rsid w:val="007D2E51"/>
    <w:rsid w:val="008066DA"/>
    <w:rsid w:val="008103A9"/>
    <w:rsid w:val="008559FA"/>
    <w:rsid w:val="00865FBF"/>
    <w:rsid w:val="008946CB"/>
    <w:rsid w:val="008B15BA"/>
    <w:rsid w:val="00935A66"/>
    <w:rsid w:val="009474E4"/>
    <w:rsid w:val="009755FF"/>
    <w:rsid w:val="00985ABA"/>
    <w:rsid w:val="009E01AD"/>
    <w:rsid w:val="00A150A9"/>
    <w:rsid w:val="00A448F8"/>
    <w:rsid w:val="00A7608E"/>
    <w:rsid w:val="00A85428"/>
    <w:rsid w:val="00A917F6"/>
    <w:rsid w:val="00A97A53"/>
    <w:rsid w:val="00AB1F39"/>
    <w:rsid w:val="00AC7A72"/>
    <w:rsid w:val="00AD1C75"/>
    <w:rsid w:val="00AE1A82"/>
    <w:rsid w:val="00B13FB7"/>
    <w:rsid w:val="00B142AA"/>
    <w:rsid w:val="00B24677"/>
    <w:rsid w:val="00B40F1A"/>
    <w:rsid w:val="00B50887"/>
    <w:rsid w:val="00B5308C"/>
    <w:rsid w:val="00B57453"/>
    <w:rsid w:val="00B87269"/>
    <w:rsid w:val="00B87935"/>
    <w:rsid w:val="00BC6D33"/>
    <w:rsid w:val="00BF400C"/>
    <w:rsid w:val="00BF4647"/>
    <w:rsid w:val="00C12395"/>
    <w:rsid w:val="00C53ADB"/>
    <w:rsid w:val="00C847A6"/>
    <w:rsid w:val="00C854D6"/>
    <w:rsid w:val="00CA419E"/>
    <w:rsid w:val="00CD3A51"/>
    <w:rsid w:val="00CF0938"/>
    <w:rsid w:val="00D1138A"/>
    <w:rsid w:val="00D15436"/>
    <w:rsid w:val="00D232D9"/>
    <w:rsid w:val="00D243F3"/>
    <w:rsid w:val="00D3091D"/>
    <w:rsid w:val="00D556D6"/>
    <w:rsid w:val="00D75216"/>
    <w:rsid w:val="00D841C4"/>
    <w:rsid w:val="00D86980"/>
    <w:rsid w:val="00DC0287"/>
    <w:rsid w:val="00DD311E"/>
    <w:rsid w:val="00DD4243"/>
    <w:rsid w:val="00DE1819"/>
    <w:rsid w:val="00DF04EC"/>
    <w:rsid w:val="00E1135F"/>
    <w:rsid w:val="00E14268"/>
    <w:rsid w:val="00E17DCB"/>
    <w:rsid w:val="00E43350"/>
    <w:rsid w:val="00E4763E"/>
    <w:rsid w:val="00E85D4E"/>
    <w:rsid w:val="00EB0C30"/>
    <w:rsid w:val="00EB1D6F"/>
    <w:rsid w:val="00EB66DA"/>
    <w:rsid w:val="00EB7FBB"/>
    <w:rsid w:val="00ED52C8"/>
    <w:rsid w:val="00EE7990"/>
    <w:rsid w:val="00F24614"/>
    <w:rsid w:val="00F65DE0"/>
    <w:rsid w:val="00F73C05"/>
    <w:rsid w:val="00FA6ACD"/>
    <w:rsid w:val="00FC52D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2BFB93"/>
  <w15:docId w15:val="{27677129-149F-4828-A7A6-2375C1933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pPr>
      <w:keepNext/>
      <w:outlineLvl w:val="4"/>
    </w:pPr>
    <w:rPr>
      <w:rFonts w:ascii="Agrofont" w:hAnsi="Agrofont"/>
      <w:sz w:val="28"/>
      <w:lang w:val="en-US"/>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semiHidden/>
    <w:rPr>
      <w:vertAlign w:val="superscript"/>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rFonts w:ascii="Arial" w:hAnsi="Arial"/>
      <w:b/>
      <w:sz w:val="22"/>
      <w:u w:val="single"/>
      <w:lang w:val="nl-NL"/>
    </w:rPr>
  </w:style>
  <w:style w:type="paragraph" w:styleId="BodyTextIndent">
    <w:name w:val="Body Text Indent"/>
    <w:basedOn w:val="Normal"/>
    <w:pPr>
      <w:ind w:left="709"/>
    </w:pPr>
    <w:rPr>
      <w:rFonts w:ascii="Arial" w:hAnsi="Arial"/>
      <w:sz w:val="22"/>
      <w:lang w:val="nl-NL"/>
    </w:rPr>
  </w:style>
  <w:style w:type="paragraph" w:styleId="BodyTextIndent2">
    <w:name w:val="Body Text Indent 2"/>
    <w:basedOn w:val="Normal"/>
    <w:pPr>
      <w:ind w:left="360"/>
    </w:pPr>
    <w:rPr>
      <w:sz w:val="22"/>
      <w:lang w:val="nl-NL"/>
    </w:rPr>
  </w:style>
  <w:style w:type="paragraph" w:styleId="BalloonText">
    <w:name w:val="Balloon Text"/>
    <w:basedOn w:val="Normal"/>
    <w:link w:val="BalloonTextChar"/>
    <w:rsid w:val="008559FA"/>
    <w:rPr>
      <w:rFonts w:ascii="Tahoma" w:hAnsi="Tahoma" w:cs="Tahoma"/>
      <w:sz w:val="16"/>
      <w:szCs w:val="16"/>
    </w:rPr>
  </w:style>
  <w:style w:type="character" w:customStyle="1" w:styleId="BalloonTextChar">
    <w:name w:val="Balloon Text Char"/>
    <w:basedOn w:val="DefaultParagraphFont"/>
    <w:link w:val="BalloonText"/>
    <w:rsid w:val="008559FA"/>
    <w:rPr>
      <w:rFonts w:ascii="Tahoma" w:hAnsi="Tahoma" w:cs="Tahoma"/>
      <w:sz w:val="16"/>
      <w:szCs w:val="16"/>
      <w:lang w:val="en-GB"/>
    </w:rPr>
  </w:style>
  <w:style w:type="character" w:styleId="CommentReference">
    <w:name w:val="annotation reference"/>
    <w:basedOn w:val="DefaultParagraphFont"/>
    <w:semiHidden/>
    <w:unhideWhenUsed/>
    <w:rsid w:val="00566F6E"/>
    <w:rPr>
      <w:sz w:val="16"/>
      <w:szCs w:val="16"/>
    </w:rPr>
  </w:style>
  <w:style w:type="paragraph" w:styleId="CommentText">
    <w:name w:val="annotation text"/>
    <w:basedOn w:val="Normal"/>
    <w:link w:val="CommentTextChar"/>
    <w:unhideWhenUsed/>
    <w:rsid w:val="00566F6E"/>
  </w:style>
  <w:style w:type="character" w:customStyle="1" w:styleId="CommentTextChar">
    <w:name w:val="Comment Text Char"/>
    <w:basedOn w:val="DefaultParagraphFont"/>
    <w:link w:val="CommentText"/>
    <w:rsid w:val="00566F6E"/>
    <w:rPr>
      <w:rFonts w:ascii="News Gothic" w:hAnsi="News Gothic"/>
      <w:lang w:val="en-GB"/>
    </w:rPr>
  </w:style>
  <w:style w:type="paragraph" w:styleId="CommentSubject">
    <w:name w:val="annotation subject"/>
    <w:basedOn w:val="CommentText"/>
    <w:next w:val="CommentText"/>
    <w:link w:val="CommentSubjectChar"/>
    <w:semiHidden/>
    <w:unhideWhenUsed/>
    <w:rsid w:val="00566F6E"/>
    <w:rPr>
      <w:b/>
      <w:bCs/>
    </w:rPr>
  </w:style>
  <w:style w:type="character" w:customStyle="1" w:styleId="CommentSubjectChar">
    <w:name w:val="Comment Subject Char"/>
    <w:basedOn w:val="CommentTextChar"/>
    <w:link w:val="CommentSubject"/>
    <w:semiHidden/>
    <w:rsid w:val="00566F6E"/>
    <w:rPr>
      <w:rFonts w:ascii="News Gothic" w:hAnsi="News Gothic"/>
      <w:b/>
      <w:bCs/>
      <w:lang w:val="en-GB"/>
    </w:rPr>
  </w:style>
  <w:style w:type="paragraph" w:styleId="ListParagraph">
    <w:name w:val="List Paragraph"/>
    <w:basedOn w:val="Normal"/>
    <w:uiPriority w:val="34"/>
    <w:qFormat/>
    <w:rsid w:val="00B40F1A"/>
    <w:pPr>
      <w:ind w:left="720"/>
      <w:contextualSpacing/>
    </w:pPr>
  </w:style>
  <w:style w:type="paragraph" w:styleId="Revision">
    <w:name w:val="Revision"/>
    <w:hidden/>
    <w:uiPriority w:val="99"/>
    <w:semiHidden/>
    <w:rsid w:val="00D75216"/>
    <w:rPr>
      <w:rFonts w:ascii="News Gothic" w:hAnsi="News Gothic"/>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339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5B95E3-237A-47D9-A719-B0603337803F}"/>
</file>

<file path=customXml/itemProps2.xml><?xml version="1.0" encoding="utf-8"?>
<ds:datastoreItem xmlns:ds="http://schemas.openxmlformats.org/officeDocument/2006/customXml" ds:itemID="{5CEDEA12-12DB-4DB1-AF00-8E9D8D565F5F}"/>
</file>

<file path=docProps/app.xml><?xml version="1.0" encoding="utf-8"?>
<Properties xmlns="http://schemas.openxmlformats.org/officeDocument/2006/extended-properties" xmlns:vt="http://schemas.openxmlformats.org/officeDocument/2006/docPropsVTypes">
  <Template>Normal.dotm</Template>
  <TotalTime>19</TotalTime>
  <Pages>4</Pages>
  <Words>1533</Words>
  <Characters>8744</Characters>
  <Application>Microsoft Office Word</Application>
  <DocSecurity>0</DocSecurity>
  <Lines>72</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PRT-301</vt:lpstr>
      <vt:lpstr>PRT-301</vt:lpstr>
    </vt:vector>
  </TitlesOfParts>
  <Company>CPRO-DLO</Company>
  <LinksUpToDate>false</LinksUpToDate>
  <CharactersWithSpaces>10257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PRT-301</dc:title>
  <dc:creator>&lt;your username here&gt;</dc:creator>
  <cp:lastModifiedBy>Hintum, Theo van</cp:lastModifiedBy>
  <cp:revision>8</cp:revision>
  <cp:lastPrinted>2019-09-17T11:39:00Z</cp:lastPrinted>
  <dcterms:created xsi:type="dcterms:W3CDTF">2019-09-23T11:49:00Z</dcterms:created>
  <dcterms:modified xsi:type="dcterms:W3CDTF">2024-05-03T07:23:00Z</dcterms:modified>
</cp:coreProperties>
</file>